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EE" w:rsidRDefault="00A904EE" w:rsidP="00A904EE">
      <w:pPr>
        <w:spacing w:line="700" w:lineRule="exact"/>
        <w:jc w:val="center"/>
        <w:textAlignment w:val="center"/>
        <w:rPr>
          <w:rFonts w:ascii="方正小标宋简体" w:eastAsia="方正小标宋简体" w:hAnsi="宋体"/>
          <w:sz w:val="44"/>
          <w:szCs w:val="44"/>
        </w:rPr>
      </w:pPr>
    </w:p>
    <w:p w:rsidR="00A904EE" w:rsidRDefault="00A904EE" w:rsidP="00A904EE">
      <w:pPr>
        <w:widowControl/>
        <w:spacing w:line="578" w:lineRule="exact"/>
        <w:jc w:val="center"/>
        <w:rPr>
          <w:rFonts w:ascii="方正小标宋简体" w:eastAsia="方正小标宋简体" w:hAnsi="宋体" w:cs="宋体"/>
          <w:kern w:val="0"/>
          <w:sz w:val="44"/>
          <w:szCs w:val="44"/>
        </w:rPr>
      </w:pPr>
      <w:bookmarkStart w:id="0" w:name="正文部分"/>
      <w:r>
        <w:rPr>
          <w:rFonts w:ascii="方正小标宋简体" w:eastAsia="方正小标宋简体" w:hAnsi="宋体" w:cs="宋体" w:hint="eastAsia"/>
          <w:kern w:val="0"/>
          <w:sz w:val="44"/>
          <w:szCs w:val="44"/>
        </w:rPr>
        <w:t>西藏自治区财政厅 西藏自治区农业农村</w:t>
      </w:r>
      <w:r>
        <w:rPr>
          <w:rFonts w:ascii="方正小标宋简体" w:eastAsia="方正小标宋简体" w:hAnsi="宋体" w:cs="宋体"/>
          <w:kern w:val="0"/>
          <w:sz w:val="44"/>
          <w:szCs w:val="44"/>
        </w:rPr>
        <w:t>厅</w:t>
      </w:r>
    </w:p>
    <w:p w:rsidR="00A904EE" w:rsidRDefault="00A904EE" w:rsidP="00A904EE">
      <w:pPr>
        <w:widowControl/>
        <w:spacing w:line="578" w:lineRule="exact"/>
        <w:jc w:val="center"/>
        <w:rPr>
          <w:rFonts w:ascii="方正小标宋简体" w:eastAsia="方正小标宋简体" w:hAnsi="方正小标宋简体" w:cs="方正小标宋简体"/>
          <w:sz w:val="44"/>
          <w:szCs w:val="44"/>
        </w:rPr>
      </w:pPr>
      <w:r>
        <w:rPr>
          <w:rFonts w:ascii="方正小标宋简体" w:eastAsia="方正小标宋简体" w:hAnsi="宋体" w:cs="宋体" w:hint="eastAsia"/>
          <w:kern w:val="0"/>
          <w:sz w:val="44"/>
          <w:szCs w:val="44"/>
        </w:rPr>
        <w:t>关于印发</w:t>
      </w:r>
      <w:proofErr w:type="gramStart"/>
      <w:r>
        <w:rPr>
          <w:rFonts w:ascii="方正小标宋简体" w:eastAsia="方正小标宋简体" w:hAnsi="宋体" w:cs="宋体" w:hint="eastAsia"/>
          <w:kern w:val="0"/>
          <w:sz w:val="44"/>
          <w:szCs w:val="44"/>
        </w:rPr>
        <w:t>《</w:t>
      </w:r>
      <w:proofErr w:type="gramEnd"/>
      <w:r>
        <w:rPr>
          <w:rFonts w:ascii="方正小标宋简体" w:eastAsia="方正小标宋简体" w:hAnsi="方正小标宋简体" w:cs="方正小标宋简体" w:hint="eastAsia"/>
          <w:sz w:val="44"/>
          <w:szCs w:val="44"/>
        </w:rPr>
        <w:t>西藏自治区农村综合改革转移</w:t>
      </w:r>
    </w:p>
    <w:p w:rsidR="00A904EE" w:rsidRDefault="00A904EE" w:rsidP="00A904EE">
      <w:pPr>
        <w:widowControl/>
        <w:spacing w:line="578" w:lineRule="exact"/>
        <w:jc w:val="center"/>
        <w:rPr>
          <w:rFonts w:ascii="宋体" w:hAnsi="宋体" w:cs="宋体"/>
          <w:kern w:val="0"/>
          <w:sz w:val="24"/>
          <w:szCs w:val="24"/>
        </w:rPr>
      </w:pPr>
      <w:r>
        <w:rPr>
          <w:rFonts w:ascii="方正小标宋简体" w:eastAsia="方正小标宋简体" w:hAnsi="方正小标宋简体" w:cs="方正小标宋简体" w:hint="eastAsia"/>
          <w:sz w:val="44"/>
          <w:szCs w:val="44"/>
        </w:rPr>
        <w:t>支付资金管理办法</w:t>
      </w:r>
      <w:proofErr w:type="gramStart"/>
      <w:r>
        <w:rPr>
          <w:rFonts w:ascii="方正小标宋简体" w:eastAsia="方正小标宋简体" w:hAnsi="宋体" w:cs="宋体" w:hint="eastAsia"/>
          <w:kern w:val="0"/>
          <w:sz w:val="44"/>
          <w:szCs w:val="44"/>
        </w:rPr>
        <w:t>》</w:t>
      </w:r>
      <w:proofErr w:type="gramEnd"/>
      <w:r>
        <w:rPr>
          <w:rFonts w:ascii="方正小标宋简体" w:eastAsia="方正小标宋简体" w:hAnsi="宋体" w:cs="宋体" w:hint="eastAsia"/>
          <w:kern w:val="0"/>
          <w:sz w:val="44"/>
          <w:szCs w:val="44"/>
        </w:rPr>
        <w:t>的通知</w:t>
      </w:r>
    </w:p>
    <w:p w:rsidR="00A904EE" w:rsidRDefault="00A904EE" w:rsidP="00A904EE">
      <w:pPr>
        <w:widowControl/>
        <w:spacing w:line="578" w:lineRule="exact"/>
        <w:jc w:val="left"/>
        <w:rPr>
          <w:rFonts w:ascii="仿宋_GB2312" w:eastAsia="仿宋_GB2312" w:hAnsi="宋体" w:cs="宋体"/>
          <w:kern w:val="0"/>
          <w:sz w:val="32"/>
          <w:szCs w:val="32"/>
        </w:rPr>
      </w:pPr>
    </w:p>
    <w:p w:rsidR="00A904EE" w:rsidRDefault="00A904EE" w:rsidP="00A904EE">
      <w:pPr>
        <w:widowControl/>
        <w:spacing w:line="578" w:lineRule="exact"/>
        <w:jc w:val="left"/>
        <w:rPr>
          <w:rFonts w:ascii="仿宋" w:eastAsia="仿宋" w:hAnsi="仿宋" w:cs="宋体"/>
          <w:kern w:val="0"/>
          <w:sz w:val="32"/>
          <w:szCs w:val="32"/>
        </w:rPr>
      </w:pPr>
      <w:r>
        <w:rPr>
          <w:rFonts w:ascii="仿宋" w:eastAsia="仿宋" w:hAnsi="仿宋" w:cs="宋体" w:hint="eastAsia"/>
          <w:kern w:val="0"/>
          <w:sz w:val="32"/>
          <w:szCs w:val="32"/>
        </w:rPr>
        <w:t xml:space="preserve">各地（市）财政局、农业农村局： </w:t>
      </w:r>
    </w:p>
    <w:p w:rsidR="00A904EE" w:rsidRDefault="00A904EE" w:rsidP="00A904EE">
      <w:pPr>
        <w:spacing w:line="578" w:lineRule="exact"/>
        <w:ind w:firstLine="636"/>
        <w:rPr>
          <w:rFonts w:ascii="仿宋" w:eastAsia="仿宋" w:hAnsi="仿宋"/>
          <w:sz w:val="32"/>
          <w:szCs w:val="32"/>
        </w:rPr>
      </w:pPr>
      <w:r>
        <w:rPr>
          <w:rFonts w:ascii="仿宋" w:eastAsia="仿宋" w:hAnsi="仿宋" w:hint="eastAsia"/>
          <w:sz w:val="32"/>
          <w:szCs w:val="32"/>
        </w:rPr>
        <w:t>为加强农村综合改革转移支付使用管理，提高资金使用效益，推动落实党中央、国务院及自治区党委、政府关于农村综合改革工作的决策部署，根据《中华人民共和国预算法》《中华人民共和国预算法实施条例》（国务院令第729号）、《</w:t>
      </w:r>
      <w:r>
        <w:rPr>
          <w:rFonts w:ascii="仿宋" w:eastAsia="仿宋" w:hAnsi="仿宋"/>
          <w:sz w:val="32"/>
          <w:szCs w:val="32"/>
        </w:rPr>
        <w:t>财政部关于印发〈</w:t>
      </w:r>
      <w:r>
        <w:rPr>
          <w:rFonts w:ascii="仿宋" w:eastAsia="仿宋" w:hAnsi="仿宋" w:hint="eastAsia"/>
          <w:sz w:val="32"/>
          <w:szCs w:val="32"/>
        </w:rPr>
        <w:t>农村综合改革转移支付资金管理办法</w:t>
      </w:r>
      <w:r>
        <w:rPr>
          <w:rFonts w:ascii="仿宋" w:eastAsia="仿宋" w:hAnsi="仿宋"/>
          <w:sz w:val="32"/>
          <w:szCs w:val="32"/>
        </w:rPr>
        <w:t>〉的通知</w:t>
      </w:r>
      <w:r>
        <w:rPr>
          <w:rFonts w:ascii="仿宋" w:eastAsia="仿宋" w:hAnsi="仿宋" w:hint="eastAsia"/>
          <w:sz w:val="32"/>
          <w:szCs w:val="32"/>
        </w:rPr>
        <w:t>》（</w:t>
      </w:r>
      <w:proofErr w:type="gramStart"/>
      <w:r>
        <w:rPr>
          <w:rFonts w:ascii="仿宋" w:eastAsia="仿宋" w:hAnsi="仿宋" w:hint="eastAsia"/>
          <w:sz w:val="32"/>
          <w:szCs w:val="32"/>
        </w:rPr>
        <w:t>财农〔2023〕</w:t>
      </w:r>
      <w:proofErr w:type="gramEnd"/>
      <w:r>
        <w:rPr>
          <w:rFonts w:ascii="仿宋" w:eastAsia="仿宋" w:hAnsi="仿宋" w:hint="eastAsia"/>
          <w:sz w:val="32"/>
          <w:szCs w:val="32"/>
        </w:rPr>
        <w:t>81号）以</w:t>
      </w:r>
      <w:r>
        <w:rPr>
          <w:rFonts w:ascii="仿宋" w:eastAsia="仿宋" w:hAnsi="仿宋" w:cs="Segoe UI" w:hint="eastAsia"/>
          <w:bCs/>
          <w:color w:val="000000"/>
          <w:sz w:val="32"/>
          <w:szCs w:val="32"/>
        </w:rPr>
        <w:t>及《财政部 农业农村部关于〈农村综合改革转移支付资金管理办法〉有关事项的补充通知》（</w:t>
      </w:r>
      <w:proofErr w:type="gramStart"/>
      <w:r>
        <w:rPr>
          <w:rFonts w:ascii="仿宋" w:eastAsia="仿宋" w:hAnsi="仿宋" w:cs="Segoe UI" w:hint="eastAsia"/>
          <w:bCs/>
          <w:color w:val="000000"/>
          <w:sz w:val="32"/>
          <w:szCs w:val="32"/>
        </w:rPr>
        <w:t>财农〔2026〕</w:t>
      </w:r>
      <w:proofErr w:type="gramEnd"/>
      <w:r>
        <w:rPr>
          <w:rFonts w:ascii="仿宋" w:eastAsia="仿宋" w:hAnsi="仿宋" w:cs="Segoe UI" w:hint="eastAsia"/>
          <w:bCs/>
          <w:color w:val="000000"/>
          <w:sz w:val="32"/>
          <w:szCs w:val="32"/>
        </w:rPr>
        <w:t>3号）</w:t>
      </w:r>
      <w:r>
        <w:rPr>
          <w:rFonts w:ascii="仿宋" w:eastAsia="仿宋" w:hAnsi="仿宋" w:hint="eastAsia"/>
          <w:sz w:val="32"/>
          <w:szCs w:val="32"/>
        </w:rPr>
        <w:t>等法律法规及规定，我们对</w:t>
      </w:r>
      <w:r>
        <w:rPr>
          <w:rFonts w:ascii="仿宋" w:eastAsia="仿宋" w:hAnsi="仿宋" w:cs="Segoe UI"/>
          <w:bCs/>
          <w:color w:val="000000"/>
          <w:sz w:val="32"/>
          <w:szCs w:val="32"/>
        </w:rPr>
        <w:t>《西藏自治区财政厅关于印发〈西藏自治区农村综合改革转移支付资金管理办法〉的通知》（藏财农〔2024〕27号）</w:t>
      </w:r>
      <w:r>
        <w:rPr>
          <w:rFonts w:ascii="仿宋" w:eastAsia="仿宋" w:hAnsi="仿宋" w:hint="eastAsia"/>
          <w:sz w:val="32"/>
          <w:szCs w:val="32"/>
        </w:rPr>
        <w:t>进行了修订，现予以印发，请遵照执行。</w:t>
      </w:r>
    </w:p>
    <w:p w:rsidR="00A904EE" w:rsidRDefault="00A904EE" w:rsidP="00A904EE">
      <w:pPr>
        <w:widowControl/>
        <w:spacing w:line="578" w:lineRule="exact"/>
        <w:ind w:firstLineChars="200" w:firstLine="480"/>
        <w:rPr>
          <w:rFonts w:ascii="仿宋" w:eastAsia="仿宋" w:hAnsi="仿宋" w:cs="宋体"/>
          <w:kern w:val="0"/>
          <w:sz w:val="24"/>
          <w:szCs w:val="24"/>
        </w:rPr>
      </w:pPr>
    </w:p>
    <w:p w:rsidR="00A904EE" w:rsidRDefault="00A904EE" w:rsidP="00A904EE">
      <w:pPr>
        <w:widowControl/>
        <w:spacing w:line="578" w:lineRule="exact"/>
        <w:ind w:firstLineChars="200" w:firstLine="480"/>
        <w:jc w:val="left"/>
        <w:rPr>
          <w:rFonts w:ascii="仿宋" w:eastAsia="仿宋" w:hAnsi="仿宋" w:cs="宋体"/>
          <w:kern w:val="0"/>
          <w:sz w:val="24"/>
          <w:szCs w:val="24"/>
        </w:rPr>
      </w:pPr>
    </w:p>
    <w:p w:rsidR="00A904EE" w:rsidRDefault="00A904EE" w:rsidP="00A904EE">
      <w:pPr>
        <w:widowControl/>
        <w:spacing w:line="578" w:lineRule="exact"/>
        <w:ind w:firstLineChars="200" w:firstLine="640"/>
        <w:jc w:val="left"/>
        <w:rPr>
          <w:rFonts w:ascii="仿宋" w:eastAsia="仿宋" w:hAnsi="仿宋" w:cs="宋体"/>
          <w:kern w:val="0"/>
          <w:sz w:val="32"/>
          <w:szCs w:val="32"/>
        </w:rPr>
      </w:pPr>
      <w:r>
        <w:rPr>
          <w:noProof/>
          <w:sz w:val="32"/>
        </w:rPr>
        <mc:AlternateContent>
          <mc:Choice Requires="wps">
            <w:drawing>
              <wp:anchor distT="0" distB="0" distL="114300" distR="114300" simplePos="0" relativeHeight="251660288" behindDoc="1" locked="0" layoutInCell="1" hidden="1" allowOverlap="1" wp14:anchorId="3EF30DB7" wp14:editId="0D61EAB8">
                <wp:simplePos x="0" y="0"/>
                <wp:positionH relativeFrom="column">
                  <wp:posOffset>-4734560</wp:posOffset>
                </wp:positionH>
                <wp:positionV relativeFrom="paragraph">
                  <wp:posOffset>-9178925</wp:posOffset>
                </wp:positionV>
                <wp:extent cx="15120620" cy="21384260"/>
                <wp:effectExtent l="0" t="0" r="0" b="0"/>
                <wp:wrapNone/>
                <wp:docPr id="4" name="KG_Shd_2" hidden="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E59228" id="KG_Shd_2" o:spid="_x0000_s1026" style="position:absolute;left:0;text-align:left;margin-left:-372.8pt;margin-top:-722.75pt;width:1190.6pt;height:1683.8pt;z-index:-251656192;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" strokecolor="white" strokeweight="1pt">
                <v:fill opacity="0"/>
                <v:stroke opacity="0"/>
              </v:rect>
            </w:pict>
          </mc:Fallback>
        </mc:AlternateContent>
      </w:r>
      <w:r>
        <w:rPr>
          <w:rFonts w:ascii="仿宋" w:eastAsia="仿宋" w:hAnsi="仿宋" w:cs="宋体" w:hint="eastAsia"/>
          <w:kern w:val="0"/>
          <w:sz w:val="32"/>
          <w:szCs w:val="32"/>
        </w:rPr>
        <w:t xml:space="preserve">西藏自治区财政厅 </w:t>
      </w:r>
      <w:r>
        <w:rPr>
          <w:rFonts w:ascii="仿宋" w:eastAsia="仿宋" w:hAnsi="仿宋" w:cs="宋体"/>
          <w:kern w:val="0"/>
          <w:sz w:val="32"/>
          <w:szCs w:val="32"/>
        </w:rPr>
        <w:t xml:space="preserve">      </w:t>
      </w:r>
      <w:r>
        <w:rPr>
          <w:rFonts w:ascii="仿宋" w:eastAsia="仿宋" w:hAnsi="仿宋" w:cs="宋体" w:hint="eastAsia"/>
          <w:kern w:val="0"/>
          <w:sz w:val="32"/>
          <w:szCs w:val="32"/>
        </w:rPr>
        <w:t>西藏</w:t>
      </w:r>
      <w:r>
        <w:rPr>
          <w:rFonts w:ascii="仿宋" w:eastAsia="仿宋" w:hAnsi="仿宋" w:cs="宋体"/>
          <w:kern w:val="0"/>
          <w:sz w:val="32"/>
          <w:szCs w:val="32"/>
        </w:rPr>
        <w:t>自治区农业农村厅</w:t>
      </w:r>
    </w:p>
    <w:p w:rsidR="00A904EE" w:rsidRDefault="00A904EE" w:rsidP="00A904EE">
      <w:pPr>
        <w:widowControl/>
        <w:spacing w:line="578" w:lineRule="exact"/>
        <w:ind w:firstLineChars="1500" w:firstLine="4800"/>
        <w:jc w:val="left"/>
        <w:rPr>
          <w:rFonts w:ascii="仿宋" w:eastAsia="仿宋" w:hAnsi="仿宋" w:cs="宋体"/>
          <w:kern w:val="0"/>
          <w:sz w:val="32"/>
          <w:szCs w:val="32"/>
        </w:rPr>
      </w:pPr>
      <w:r>
        <w:rPr>
          <w:rFonts w:ascii="仿宋" w:eastAsia="仿宋" w:hAnsi="仿宋" w:cs="宋体" w:hint="eastAsia"/>
          <w:kern w:val="0"/>
          <w:sz w:val="32"/>
          <w:szCs w:val="32"/>
        </w:rPr>
        <w:t>2026年</w:t>
      </w:r>
      <w:r>
        <w:rPr>
          <w:rFonts w:ascii="仿宋" w:eastAsia="仿宋" w:hAnsi="仿宋" w:cs="宋体"/>
          <w:kern w:val="0"/>
          <w:sz w:val="32"/>
          <w:szCs w:val="32"/>
        </w:rPr>
        <w:t>6</w:t>
      </w:r>
      <w:r>
        <w:rPr>
          <w:rFonts w:ascii="仿宋" w:eastAsia="仿宋" w:hAnsi="仿宋" w:cs="宋体" w:hint="eastAsia"/>
          <w:kern w:val="0"/>
          <w:sz w:val="32"/>
          <w:szCs w:val="32"/>
        </w:rPr>
        <w:t>月30日</w:t>
      </w:r>
    </w:p>
    <w:p w:rsidR="00A904EE" w:rsidRDefault="00A904EE" w:rsidP="00A904EE">
      <w:pPr>
        <w:widowControl/>
        <w:jc w:val="left"/>
        <w:rPr>
          <w:rFonts w:ascii="仿宋_GB2312" w:eastAsia="仿宋_GB2312" w:hAnsi="宋体" w:cs="宋体"/>
          <w:kern w:val="0"/>
          <w:sz w:val="32"/>
          <w:szCs w:val="32"/>
        </w:rPr>
      </w:pPr>
      <w:r>
        <w:rPr>
          <w:rFonts w:ascii="仿宋_GB2312" w:eastAsia="仿宋_GB2312" w:hAnsi="宋体" w:cs="宋体"/>
          <w:kern w:val="0"/>
          <w:sz w:val="32"/>
          <w:szCs w:val="32"/>
        </w:rPr>
        <w:br w:type="page"/>
      </w:r>
    </w:p>
    <w:p w:rsidR="00A904EE" w:rsidRDefault="00A904EE" w:rsidP="00A904EE">
      <w:pPr>
        <w:spacing w:line="578"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西藏自治区农村综合改革转移支付</w:t>
      </w:r>
    </w:p>
    <w:p w:rsidR="00A904EE" w:rsidRDefault="00A904EE" w:rsidP="00A904EE">
      <w:pPr>
        <w:spacing w:line="578"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资金管理办法</w:t>
      </w:r>
    </w:p>
    <w:p w:rsidR="00A904EE" w:rsidRDefault="00A904EE" w:rsidP="00A904EE">
      <w:pPr>
        <w:shd w:val="clear" w:color="auto" w:fill="FFFFFF"/>
        <w:spacing w:line="578" w:lineRule="exact"/>
        <w:ind w:firstLineChars="200" w:firstLine="640"/>
        <w:jc w:val="center"/>
        <w:outlineLvl w:val="3"/>
        <w:rPr>
          <w:rFonts w:ascii="黑体" w:eastAsia="黑体" w:hAnsi="黑体" w:cs="Segoe UI"/>
          <w:bCs/>
          <w:color w:val="0F1115"/>
          <w:kern w:val="0"/>
          <w:sz w:val="32"/>
          <w:szCs w:val="32"/>
        </w:rPr>
      </w:pP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第一章 总则</w:t>
      </w:r>
    </w:p>
    <w:p w:rsidR="00A904EE" w:rsidRDefault="00A904EE" w:rsidP="00A904EE">
      <w:pPr>
        <w:shd w:val="clear" w:color="auto" w:fill="FFFFFF"/>
        <w:spacing w:line="578" w:lineRule="exact"/>
        <w:ind w:firstLineChars="200" w:firstLine="643"/>
        <w:jc w:val="left"/>
        <w:rPr>
          <w:rFonts w:ascii="仿宋" w:eastAsia="仿宋" w:hAnsi="仿宋" w:cs="Segoe UI"/>
          <w:color w:val="000000"/>
          <w:kern w:val="0"/>
          <w:sz w:val="32"/>
          <w:szCs w:val="32"/>
        </w:rPr>
      </w:pPr>
      <w:r>
        <w:rPr>
          <w:rFonts w:ascii="仿宋" w:eastAsia="仿宋" w:hAnsi="仿宋" w:cs="Segoe UI"/>
          <w:b/>
          <w:bCs/>
          <w:color w:val="0F1115"/>
          <w:kern w:val="0"/>
          <w:sz w:val="32"/>
          <w:szCs w:val="32"/>
        </w:rPr>
        <w:t>第一条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为规范农村综合改革转移支付资金使用管理，提高资金使用效益，推动落实党中央、国务院及自治区党委、政府有关农村综合改革发展的决策部署，根据《中华人民共和</w:t>
      </w:r>
      <w:r>
        <w:rPr>
          <w:rFonts w:ascii="仿宋" w:eastAsia="仿宋" w:hAnsi="仿宋" w:cs="Segoe UI"/>
          <w:color w:val="000000"/>
          <w:kern w:val="0"/>
          <w:sz w:val="32"/>
          <w:szCs w:val="32"/>
        </w:rPr>
        <w:t>国预算法》《中华人民共和国预算法实施条例》（国务院令第729号）、《财政部关于印发〈农村综合改革转移支付资金管理办法〉的通知》（</w:t>
      </w:r>
      <w:proofErr w:type="gramStart"/>
      <w:r>
        <w:rPr>
          <w:rFonts w:ascii="仿宋" w:eastAsia="仿宋" w:hAnsi="仿宋" w:cs="Segoe UI"/>
          <w:color w:val="000000"/>
          <w:kern w:val="0"/>
          <w:sz w:val="32"/>
          <w:szCs w:val="32"/>
        </w:rPr>
        <w:t>财农〔2023〕</w:t>
      </w:r>
      <w:proofErr w:type="gramEnd"/>
      <w:r>
        <w:rPr>
          <w:rFonts w:ascii="仿宋" w:eastAsia="仿宋" w:hAnsi="仿宋" w:cs="Segoe UI"/>
          <w:color w:val="000000"/>
          <w:kern w:val="0"/>
          <w:sz w:val="32"/>
          <w:szCs w:val="32"/>
        </w:rPr>
        <w:t>81号）及《财政部 农业农村部关于〈农村综合改革转移支付资金管理办法〉有关事项的补充通知》（</w:t>
      </w:r>
      <w:proofErr w:type="gramStart"/>
      <w:r>
        <w:rPr>
          <w:rFonts w:ascii="仿宋" w:eastAsia="仿宋" w:hAnsi="仿宋" w:cs="Segoe UI"/>
          <w:color w:val="000000"/>
          <w:kern w:val="0"/>
          <w:sz w:val="32"/>
          <w:szCs w:val="32"/>
        </w:rPr>
        <w:t>财农〔2026〕</w:t>
      </w:r>
      <w:proofErr w:type="gramEnd"/>
      <w:r>
        <w:rPr>
          <w:rFonts w:ascii="仿宋" w:eastAsia="仿宋" w:hAnsi="仿宋" w:cs="Segoe UI"/>
          <w:color w:val="000000"/>
          <w:kern w:val="0"/>
          <w:sz w:val="32"/>
          <w:szCs w:val="32"/>
        </w:rPr>
        <w:t>3号）等法律法规规定，制定本办法。</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第二条 </w:t>
      </w:r>
      <w:r>
        <w:rPr>
          <w:rFonts w:ascii="仿宋" w:eastAsia="仿宋" w:hAnsi="仿宋" w:cs="Segoe UI"/>
          <w:color w:val="000000"/>
          <w:kern w:val="0"/>
          <w:sz w:val="32"/>
          <w:szCs w:val="32"/>
        </w:rPr>
        <w:t>本办法所称农村综合改革转移支付是指中央、自治区财政安排用于支持农村综合改革发展工作的专项转移支付，对地（市）、县（区、市）开展相关工作给予适当补助。农村综合改革资金的分配、使用、管理、监督和绩效管理适用本办法。农村综合改革转移支付实施期限至2028年，届时根据有关法律法规、财政部和自治区党委、政府有关部署确定是否继续实施和延续期限。</w:t>
      </w:r>
    </w:p>
    <w:p w:rsidR="00A904EE" w:rsidRDefault="00A904EE" w:rsidP="00A904EE">
      <w:pPr>
        <w:shd w:val="clear" w:color="auto" w:fill="FFFFFF"/>
        <w:spacing w:line="578" w:lineRule="exact"/>
        <w:ind w:firstLineChars="200" w:firstLine="643"/>
        <w:jc w:val="left"/>
        <w:rPr>
          <w:rFonts w:ascii="仿宋" w:eastAsia="仿宋" w:hAnsi="仿宋" w:cs="Segoe UI"/>
          <w:b/>
          <w:bCs/>
          <w:color w:val="000000"/>
          <w:kern w:val="0"/>
          <w:sz w:val="32"/>
          <w:szCs w:val="32"/>
        </w:rPr>
      </w:pPr>
      <w:r>
        <w:rPr>
          <w:rFonts w:ascii="仿宋" w:eastAsia="仿宋" w:hAnsi="仿宋" w:cs="Segoe UI"/>
          <w:b/>
          <w:bCs/>
          <w:color w:val="000000"/>
          <w:kern w:val="0"/>
          <w:sz w:val="32"/>
          <w:szCs w:val="32"/>
        </w:rPr>
        <w:t xml:space="preserve">第三条 </w:t>
      </w:r>
      <w:r>
        <w:rPr>
          <w:rFonts w:ascii="仿宋" w:eastAsia="仿宋" w:hAnsi="仿宋" w:cs="Segoe UI"/>
          <w:color w:val="000000"/>
          <w:kern w:val="0"/>
          <w:sz w:val="32"/>
          <w:szCs w:val="32"/>
        </w:rPr>
        <w:t>农村综合改革转移支付由各级财政部门会同农业农村部门共同负责管理。</w:t>
      </w:r>
      <w:r>
        <w:rPr>
          <w:rFonts w:ascii="仿宋" w:eastAsia="仿宋" w:hAnsi="仿宋" w:cs="Segoe UI"/>
          <w:color w:val="000000"/>
          <w:kern w:val="0"/>
          <w:sz w:val="32"/>
          <w:szCs w:val="32"/>
        </w:rPr>
        <w:br/>
        <w:t xml:space="preserve">    自治区财政厅会同自治区农业农村厅编制农村综合改革转</w:t>
      </w:r>
      <w:r>
        <w:rPr>
          <w:rFonts w:ascii="仿宋" w:eastAsia="仿宋" w:hAnsi="仿宋" w:cs="Segoe UI"/>
          <w:color w:val="000000"/>
          <w:kern w:val="0"/>
          <w:sz w:val="32"/>
          <w:szCs w:val="32"/>
        </w:rPr>
        <w:lastRenderedPageBreak/>
        <w:t>移支付预算，结合中央财政资金下达情况，制定资金分配方案并下达预算，组织开展预算绩效管理工作，指导地方加强资金管理和制度建设等工作。</w:t>
      </w:r>
      <w:r>
        <w:rPr>
          <w:rFonts w:ascii="仿宋" w:eastAsia="仿宋" w:hAnsi="仿宋" w:cs="Segoe UI"/>
          <w:color w:val="000000"/>
          <w:kern w:val="0"/>
          <w:sz w:val="32"/>
          <w:szCs w:val="32"/>
        </w:rPr>
        <w:br/>
        <w:t xml:space="preserve">    自治区农业农村厅负责相关规划、实施方案等编制和审核，根据党中央、国务院和自治区党委、政府有关决策部署，按照资金管理办法规定的支出方向和支持内容，研究提出年度具体任务和资金测算分配建议，对采用的分配因素及数据真实性、准确性负责。督促指导地（市）、县（区、市）做好项目和资金管理等相关工作，按规定开展预算绩效管理、加强绩效管理结果应用等工作。</w:t>
      </w:r>
      <w:r>
        <w:rPr>
          <w:rFonts w:ascii="仿宋" w:eastAsia="仿宋" w:hAnsi="仿宋" w:cs="Segoe UI"/>
          <w:color w:val="000000"/>
          <w:kern w:val="0"/>
          <w:sz w:val="32"/>
          <w:szCs w:val="32"/>
        </w:rPr>
        <w:br/>
        <w:t xml:space="preserve">    地（市）、县（区、市）财政部门会同同级农业农村部门负责农村综合改革转移支付资金的分解下达、审核拨付、使用监督等工作，组织开展本地区预算绩效管理工作。地（市）、县（区、市）农业农村部门主要负责相关规划、实施方案等编制、项目组织实施和监督、资金使用管理等，研究提出任务和资金分解安排建议，做好本地区预算执行，具体开展本地区绩效目标管理、绩效运行监控、绩效评价和结果应用等工作。</w:t>
      </w:r>
      <w:r>
        <w:rPr>
          <w:rFonts w:ascii="仿宋" w:eastAsia="仿宋" w:hAnsi="仿宋" w:cs="Segoe UI"/>
          <w:color w:val="000000"/>
          <w:kern w:val="0"/>
          <w:sz w:val="32"/>
          <w:szCs w:val="32"/>
        </w:rPr>
        <w:br/>
        <w:t xml:space="preserve">    地方各级财政、农业农村部门应当对上报的有关数据和信息的真实性、准确性、规范性，以及项目实施和资金管理的有效性、合</w:t>
      </w:r>
      <w:proofErr w:type="gramStart"/>
      <w:r>
        <w:rPr>
          <w:rFonts w:ascii="仿宋" w:eastAsia="仿宋" w:hAnsi="仿宋" w:cs="Segoe UI"/>
          <w:color w:val="000000"/>
          <w:kern w:val="0"/>
          <w:sz w:val="32"/>
          <w:szCs w:val="32"/>
        </w:rPr>
        <w:t>规</w:t>
      </w:r>
      <w:proofErr w:type="gramEnd"/>
      <w:r>
        <w:rPr>
          <w:rFonts w:ascii="仿宋" w:eastAsia="仿宋" w:hAnsi="仿宋" w:cs="Segoe UI"/>
          <w:color w:val="000000"/>
          <w:kern w:val="0"/>
          <w:sz w:val="32"/>
          <w:szCs w:val="32"/>
        </w:rPr>
        <w:t>性等负责。</w:t>
      </w:r>
    </w:p>
    <w:p w:rsidR="00A904EE" w:rsidRDefault="00A904EE" w:rsidP="00A904EE">
      <w:pPr>
        <w:shd w:val="clear" w:color="auto" w:fill="FFFFFF"/>
        <w:spacing w:line="578" w:lineRule="exact"/>
        <w:ind w:firstLineChars="200" w:firstLine="643"/>
        <w:jc w:val="left"/>
        <w:rPr>
          <w:rFonts w:ascii="仿宋" w:eastAsia="仿宋" w:hAnsi="仿宋" w:cs="Segoe UI"/>
          <w:color w:val="0F1115"/>
          <w:kern w:val="0"/>
          <w:sz w:val="32"/>
          <w:szCs w:val="32"/>
        </w:rPr>
      </w:pPr>
      <w:r>
        <w:rPr>
          <w:rFonts w:ascii="仿宋" w:eastAsia="仿宋" w:hAnsi="仿宋" w:cs="Segoe UI"/>
          <w:b/>
          <w:bCs/>
          <w:color w:val="0F1115"/>
          <w:kern w:val="0"/>
          <w:sz w:val="32"/>
          <w:szCs w:val="32"/>
        </w:rPr>
        <w:t>第四条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各地（市）、县（区、市）应因地制宜、实事求是，尽力而为、量力而行，创新农村综合改革转移支付投入和</w:t>
      </w:r>
      <w:r>
        <w:rPr>
          <w:rFonts w:ascii="仿宋" w:eastAsia="仿宋" w:hAnsi="仿宋" w:cs="Segoe UI"/>
          <w:color w:val="0F1115"/>
          <w:kern w:val="0"/>
          <w:sz w:val="32"/>
          <w:szCs w:val="32"/>
        </w:rPr>
        <w:lastRenderedPageBreak/>
        <w:t>使用方式，积极采用以奖代补、民办公助、</w:t>
      </w:r>
      <w:r>
        <w:rPr>
          <w:rFonts w:ascii="仿宋" w:eastAsia="仿宋" w:hAnsi="仿宋" w:cs="仿宋" w:hint="eastAsia"/>
          <w:kern w:val="0"/>
          <w:sz w:val="32"/>
          <w:szCs w:val="32"/>
        </w:rPr>
        <w:t>政府购买服务</w:t>
      </w:r>
      <w:r>
        <w:rPr>
          <w:rFonts w:ascii="仿宋" w:eastAsia="仿宋" w:hAnsi="仿宋" w:cs="Segoe UI"/>
          <w:color w:val="0F1115"/>
          <w:kern w:val="0"/>
          <w:sz w:val="32"/>
          <w:szCs w:val="32"/>
        </w:rPr>
        <w:t>等方式，引导社会资金参与农村综合改革发展有关事项，提高财政资金使用效能。</w:t>
      </w: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第二章 资金使用范围</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F1115"/>
          <w:kern w:val="0"/>
          <w:sz w:val="32"/>
          <w:szCs w:val="32"/>
        </w:rPr>
        <w:t>第五条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农村综合改革转移支付用于补助各地（市）、县（区、市）开展农村公益事业建设财政奖补、农村综合改革</w:t>
      </w:r>
      <w:r>
        <w:rPr>
          <w:rFonts w:ascii="仿宋" w:eastAsia="仿宋" w:hAnsi="仿宋" w:cs="Segoe UI" w:hint="eastAsia"/>
          <w:color w:val="0F1115"/>
          <w:kern w:val="0"/>
          <w:sz w:val="32"/>
          <w:szCs w:val="32"/>
        </w:rPr>
        <w:t>相</w:t>
      </w:r>
      <w:r>
        <w:rPr>
          <w:rFonts w:ascii="仿宋" w:eastAsia="仿宋" w:hAnsi="仿宋" w:cs="Segoe UI"/>
          <w:color w:val="0F1115"/>
          <w:kern w:val="0"/>
          <w:sz w:val="32"/>
          <w:szCs w:val="32"/>
        </w:rPr>
        <w:t>关示范试点，党中央、国务院和自治区党委、政府明确部署的其他农村综合改革事项等工作。</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F1115"/>
          <w:kern w:val="0"/>
          <w:sz w:val="32"/>
          <w:szCs w:val="32"/>
        </w:rPr>
        <w:t>第六条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农村公益事业建设</w:t>
      </w:r>
      <w:proofErr w:type="gramStart"/>
      <w:r>
        <w:rPr>
          <w:rFonts w:ascii="仿宋" w:eastAsia="仿宋" w:hAnsi="仿宋" w:cs="Segoe UI"/>
          <w:color w:val="0F1115"/>
          <w:kern w:val="0"/>
          <w:sz w:val="32"/>
          <w:szCs w:val="32"/>
        </w:rPr>
        <w:t>财政奖补支出</w:t>
      </w:r>
      <w:proofErr w:type="gramEnd"/>
      <w:r>
        <w:rPr>
          <w:rFonts w:ascii="仿宋" w:eastAsia="仿宋" w:hAnsi="仿宋" w:cs="Segoe UI"/>
          <w:color w:val="0F1115"/>
          <w:kern w:val="0"/>
          <w:sz w:val="32"/>
          <w:szCs w:val="32"/>
        </w:rPr>
        <w:t>用于对农牧民通过民主程序议定的“村内户外”农村公益建设项目给予奖补，主要支持加快建设村内道路、村容村貌改造、村内坑塘沟渠以及农牧民通过民主程序议定需要兴办且符合有关规定的其他公益事业建设项目。</w:t>
      </w:r>
    </w:p>
    <w:p w:rsidR="00A904EE" w:rsidRDefault="00A904EE" w:rsidP="00A904EE">
      <w:pPr>
        <w:shd w:val="clear" w:color="auto" w:fill="FFFFFF"/>
        <w:spacing w:line="578" w:lineRule="exact"/>
        <w:ind w:firstLineChars="200" w:firstLine="643"/>
        <w:rPr>
          <w:rFonts w:ascii="仿宋" w:eastAsia="仿宋" w:hAnsi="仿宋" w:cs="Segoe UI"/>
          <w:color w:val="FF0000"/>
          <w:kern w:val="0"/>
          <w:sz w:val="32"/>
          <w:szCs w:val="32"/>
        </w:rPr>
      </w:pPr>
      <w:r>
        <w:rPr>
          <w:rFonts w:ascii="仿宋" w:eastAsia="仿宋" w:hAnsi="仿宋" w:cs="Segoe UI"/>
          <w:b/>
          <w:bCs/>
          <w:color w:val="0F1115"/>
          <w:kern w:val="0"/>
          <w:sz w:val="32"/>
          <w:szCs w:val="32"/>
        </w:rPr>
        <w:t>第七条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农村综合改革发展相关示范试点支出用于支持落实党中央、国务院和自治区党委、政府有关决策部署，按程序承担示范试点任务的地（市）、县（区、市）</w:t>
      </w:r>
      <w:r>
        <w:rPr>
          <w:rFonts w:ascii="仿宋" w:eastAsia="仿宋" w:hAnsi="仿宋" w:cs="Segoe UI" w:hint="eastAsia"/>
          <w:color w:val="0F1115"/>
          <w:kern w:val="0"/>
          <w:sz w:val="32"/>
          <w:szCs w:val="32"/>
        </w:rPr>
        <w:t>。</w:t>
      </w:r>
    </w:p>
    <w:p w:rsidR="00A904EE" w:rsidRDefault="00A904EE" w:rsidP="00A904EE">
      <w:pPr>
        <w:shd w:val="clear" w:color="auto" w:fill="FFFFFF"/>
        <w:spacing w:line="578" w:lineRule="exact"/>
        <w:ind w:firstLineChars="200" w:firstLine="643"/>
        <w:jc w:val="left"/>
        <w:rPr>
          <w:rFonts w:ascii="仿宋" w:eastAsia="仿宋" w:hAnsi="仿宋" w:cs="Segoe UI"/>
          <w:color w:val="0F1115"/>
          <w:kern w:val="0"/>
          <w:sz w:val="32"/>
          <w:szCs w:val="32"/>
        </w:rPr>
      </w:pPr>
      <w:r>
        <w:rPr>
          <w:rFonts w:ascii="仿宋" w:eastAsia="仿宋" w:hAnsi="仿宋" w:cs="Segoe UI"/>
          <w:b/>
          <w:bCs/>
          <w:color w:val="0F1115"/>
          <w:kern w:val="0"/>
          <w:sz w:val="32"/>
          <w:szCs w:val="32"/>
        </w:rPr>
        <w:t xml:space="preserve">第八条 </w:t>
      </w:r>
      <w:r>
        <w:rPr>
          <w:rFonts w:ascii="仿宋" w:eastAsia="仿宋" w:hAnsi="仿宋" w:cs="Segoe UI"/>
          <w:color w:val="0F1115"/>
          <w:kern w:val="0"/>
          <w:sz w:val="32"/>
          <w:szCs w:val="32"/>
        </w:rPr>
        <w:t>农村综合改革转移支付不得用于单位基本支出、修建楼堂馆所、各种工资奖金津贴和福利支出、弥补预算支出缺口、偿还债务及其他与农村综合改革无关的支出。农村综合改革转移支付相关项目实施不得新增地方政府隐性债务，不得新增村级债务。同一项目内容不得重复申报或多头申请专项资金。</w:t>
      </w:r>
    </w:p>
    <w:p w:rsidR="00A904EE" w:rsidRDefault="00A904EE" w:rsidP="00A904EE">
      <w:pPr>
        <w:shd w:val="clear" w:color="auto" w:fill="FFFFFF"/>
        <w:spacing w:line="578" w:lineRule="exact"/>
        <w:ind w:firstLineChars="200" w:firstLine="643"/>
        <w:jc w:val="left"/>
        <w:rPr>
          <w:rFonts w:ascii="仿宋" w:eastAsia="仿宋" w:hAnsi="仿宋" w:cs="Segoe UI"/>
          <w:color w:val="000000"/>
          <w:kern w:val="0"/>
          <w:sz w:val="32"/>
          <w:szCs w:val="32"/>
        </w:rPr>
      </w:pPr>
      <w:r>
        <w:rPr>
          <w:rFonts w:ascii="仿宋" w:eastAsia="仿宋" w:hAnsi="仿宋" w:cs="Segoe UI"/>
          <w:b/>
          <w:bCs/>
          <w:color w:val="0F1115"/>
          <w:kern w:val="0"/>
          <w:sz w:val="32"/>
          <w:szCs w:val="32"/>
        </w:rPr>
        <w:lastRenderedPageBreak/>
        <w:t>第九条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农村综合改革转移支付资金形成的公益性资产，应当按照相关规定和要求，明确管护主体，落实管护责任，确保项目正常运转并发挥良好效益。</w:t>
      </w:r>
      <w:r>
        <w:rPr>
          <w:rFonts w:ascii="仿宋" w:eastAsia="仿宋" w:hAnsi="仿宋" w:cs="Segoe UI"/>
          <w:color w:val="000000"/>
          <w:kern w:val="0"/>
          <w:sz w:val="32"/>
          <w:szCs w:val="32"/>
        </w:rPr>
        <w:t>农村综合改革转移支付资金形成的经营性资产，应建立</w:t>
      </w:r>
      <w:proofErr w:type="gramStart"/>
      <w:r>
        <w:rPr>
          <w:rFonts w:ascii="仿宋" w:eastAsia="仿宋" w:hAnsi="仿宋" w:cs="Segoe UI"/>
          <w:color w:val="000000"/>
          <w:kern w:val="0"/>
          <w:sz w:val="32"/>
          <w:szCs w:val="32"/>
        </w:rPr>
        <w:t>健全联</w:t>
      </w:r>
      <w:proofErr w:type="gramEnd"/>
      <w:r>
        <w:rPr>
          <w:rFonts w:ascii="仿宋" w:eastAsia="仿宋" w:hAnsi="仿宋" w:cs="Segoe UI"/>
          <w:color w:val="000000"/>
          <w:kern w:val="0"/>
          <w:sz w:val="32"/>
          <w:szCs w:val="32"/>
        </w:rPr>
        <w:t>农带农机制，确保农牧民充分受益。</w:t>
      </w: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第三章 资金测算分配</w:t>
      </w:r>
    </w:p>
    <w:p w:rsidR="00A904EE" w:rsidRDefault="00A904EE" w:rsidP="00A904EE">
      <w:pPr>
        <w:shd w:val="clear" w:color="auto" w:fill="FFFFFF"/>
        <w:spacing w:line="578" w:lineRule="exact"/>
        <w:ind w:firstLineChars="200" w:firstLine="643"/>
        <w:jc w:val="left"/>
        <w:rPr>
          <w:rFonts w:ascii="仿宋" w:eastAsia="仿宋" w:hAnsi="仿宋" w:cs="Segoe UI"/>
          <w:color w:val="0F1115"/>
          <w:kern w:val="0"/>
          <w:sz w:val="32"/>
          <w:szCs w:val="32"/>
        </w:rPr>
      </w:pPr>
      <w:r>
        <w:rPr>
          <w:rFonts w:ascii="仿宋" w:eastAsia="仿宋" w:hAnsi="仿宋" w:cs="Segoe UI"/>
          <w:b/>
          <w:bCs/>
          <w:color w:val="0F1115"/>
          <w:kern w:val="0"/>
          <w:sz w:val="32"/>
          <w:szCs w:val="32"/>
        </w:rPr>
        <w:t>第十条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转移支付分配遵循规范、公正、公开的原则，采用因素法和定额测算分配，并可根据绩效评价结果、财政困难程度等情况进行适当调节，进一步突出激励导向。对农村综合改革资金保障情况好、推进农村综合改革成效明显的地（市）、县（区、市），可采取定额补助实施激励，列入农村综合改革发展相关示范试点等支出方向。各支出方向测算因素及标准如下，可根据工作实际适时调整完善。</w:t>
      </w:r>
    </w:p>
    <w:p w:rsidR="00A904EE" w:rsidRDefault="00A904EE" w:rsidP="00A904EE">
      <w:pPr>
        <w:shd w:val="clear" w:color="auto" w:fill="FFFFFF"/>
        <w:spacing w:line="578" w:lineRule="exact"/>
        <w:ind w:firstLineChars="200" w:firstLine="640"/>
        <w:jc w:val="left"/>
        <w:rPr>
          <w:rFonts w:ascii="仿宋" w:eastAsia="仿宋" w:hAnsi="仿宋" w:cs="Segoe UI"/>
          <w:color w:val="0F1115"/>
          <w:kern w:val="0"/>
          <w:sz w:val="32"/>
          <w:szCs w:val="32"/>
        </w:rPr>
      </w:pPr>
      <w:r>
        <w:rPr>
          <w:rFonts w:ascii="仿宋" w:eastAsia="仿宋" w:hAnsi="仿宋" w:cs="Segoe UI"/>
          <w:color w:val="0F1115"/>
          <w:kern w:val="0"/>
          <w:sz w:val="32"/>
          <w:szCs w:val="32"/>
        </w:rPr>
        <w:t>农村公益事业建设</w:t>
      </w:r>
      <w:proofErr w:type="gramStart"/>
      <w:r>
        <w:rPr>
          <w:rFonts w:ascii="仿宋" w:eastAsia="仿宋" w:hAnsi="仿宋" w:cs="Segoe UI"/>
          <w:color w:val="0F1115"/>
          <w:kern w:val="0"/>
          <w:sz w:val="32"/>
          <w:szCs w:val="32"/>
        </w:rPr>
        <w:t>财政奖补支出</w:t>
      </w:r>
      <w:proofErr w:type="gramEnd"/>
      <w:r>
        <w:rPr>
          <w:rFonts w:ascii="仿宋" w:eastAsia="仿宋" w:hAnsi="仿宋" w:cs="Segoe UI"/>
          <w:color w:val="0F1115"/>
          <w:kern w:val="0"/>
          <w:sz w:val="32"/>
          <w:szCs w:val="32"/>
        </w:rPr>
        <w:t>按照各地（市）乡村人口数、村民委员会个数、上年地（市）财政一般公共预算投入、上年预算执行</w:t>
      </w:r>
      <w:r>
        <w:rPr>
          <w:rFonts w:ascii="仿宋" w:eastAsia="仿宋" w:hAnsi="仿宋" w:cs="Segoe UI" w:hint="eastAsia"/>
          <w:color w:val="0F1115"/>
          <w:kern w:val="0"/>
          <w:sz w:val="32"/>
          <w:szCs w:val="32"/>
        </w:rPr>
        <w:t>规模</w:t>
      </w:r>
      <w:r>
        <w:rPr>
          <w:rFonts w:ascii="仿宋" w:eastAsia="仿宋" w:hAnsi="仿宋" w:cs="Segoe UI"/>
          <w:color w:val="0F1115"/>
          <w:kern w:val="0"/>
          <w:sz w:val="32"/>
          <w:szCs w:val="32"/>
        </w:rPr>
        <w:t>、资金使用管理监督情况等因素测算分配，权重依次为35%、10%、30%、20%、5%。可根据绩效评价结果、财政困难系数等予以调节。具体测算公式如下：</w:t>
      </w:r>
    </w:p>
    <w:p w:rsidR="00A904EE" w:rsidRDefault="00A904EE" w:rsidP="00A904EE">
      <w:pPr>
        <w:wordWrap w:val="0"/>
        <w:topLinePunct/>
        <w:ind w:firstLineChars="200" w:firstLine="361"/>
        <w:jc w:val="left"/>
        <w:textAlignment w:val="center"/>
        <w:rPr>
          <w:rFonts w:ascii="DejaVu Math TeX Gyre" w:eastAsia="仿宋" w:hAnsi="DejaVu Math TeX Gyre" w:cs="仿宋"/>
          <w:b/>
          <w:bCs/>
          <w:color w:val="000000"/>
          <w:sz w:val="10"/>
          <w:szCs w:val="10"/>
        </w:rPr>
      </w:pPr>
      <m:oMath>
        <m:r>
          <m:rPr>
            <m:sty m:val="b"/>
          </m:rPr>
          <w:rPr>
            <w:rFonts w:ascii="Cambria Math" w:eastAsia="仿宋" w:hAnsi="Cambria Math" w:cs="Cambria Math"/>
            <w:color w:val="FF0000"/>
            <w:sz w:val="18"/>
            <w:szCs w:val="21"/>
          </w:rPr>
          <m:t xml:space="preserve"> </m:t>
        </m:r>
        <m:r>
          <m:rPr>
            <m:sty m:val="b"/>
          </m:rPr>
          <w:rPr>
            <w:rFonts w:ascii="Cambria Math" w:eastAsia="仿宋" w:hAnsi="Cambria Math" w:cs="Cambria Math"/>
            <w:color w:val="000000"/>
            <w:sz w:val="18"/>
            <w:szCs w:val="21"/>
          </w:rPr>
          <m:t xml:space="preserve"> </m:t>
        </m:r>
        <m:r>
          <m:rPr>
            <m:sty m:val="b"/>
          </m:rPr>
          <w:rPr>
            <w:rFonts w:ascii="Cambria Math" w:eastAsia="仿宋" w:hAnsi="Cambria Math" w:cs="Cambria Math"/>
            <w:color w:val="000000"/>
            <w:sz w:val="18"/>
            <w:szCs w:val="18"/>
          </w:rPr>
          <m:t>X</m:t>
        </m:r>
        <m:r>
          <m:rPr>
            <m:sty m:val="b"/>
          </m:rPr>
          <w:rPr>
            <w:rFonts w:ascii="Cambria Math" w:eastAsia="仿宋" w:hAnsi="Cambria Math" w:cs="Cambria Math" w:hint="eastAsia"/>
            <w:color w:val="000000"/>
            <w:sz w:val="18"/>
            <w:szCs w:val="18"/>
          </w:rPr>
          <m:t>地（市）农村公益事业建设财政奖补资金分配系数（未经绩效调节）</m:t>
        </m:r>
        <m:r>
          <m:rPr>
            <m:sty m:val="b"/>
          </m:rPr>
          <w:rPr>
            <w:rFonts w:ascii="Cambria Math" w:eastAsia="仿宋" w:hAnsi="Cambria Math" w:cs="Cambria Math"/>
            <w:color w:val="000000"/>
            <w:sz w:val="18"/>
            <w:szCs w:val="18"/>
          </w:rPr>
          <m:t>=</m:t>
        </m:r>
        <m:f>
          <m:fPr>
            <m:ctrlPr>
              <w:rPr>
                <w:rFonts w:ascii="Cambria Math" w:eastAsia="仿宋" w:hAnsi="Cambria Math" w:cs="Cambria Math"/>
                <w:b/>
                <w:color w:val="000000"/>
                <w:sz w:val="18"/>
                <w:szCs w:val="18"/>
              </w:rPr>
            </m:ctrlPr>
          </m:fPr>
          <m:num>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乡村人口数</m:t>
            </m:r>
          </m:num>
          <m:den>
            <m:nary>
              <m:naryPr>
                <m:chr m:val="∑"/>
                <m:limLoc m:val="undOvr"/>
                <m:subHide m:val="1"/>
                <m:supHide m:val="1"/>
                <m:ctrlPr>
                  <w:rPr>
                    <w:rFonts w:ascii="Cambria Math" w:eastAsia="仿宋" w:hAnsi="Cambria Math" w:cs="Cambria Math"/>
                    <w:b/>
                    <w:color w:val="000000"/>
                    <w:sz w:val="18"/>
                    <w:szCs w:val="18"/>
                  </w:rPr>
                </m:ctrlPr>
              </m:naryPr>
              <m:sub/>
              <m:sup/>
              <m:e>
                <m:r>
                  <m:rPr>
                    <m:sty m:val="b"/>
                  </m:rPr>
                  <w:rPr>
                    <w:rFonts w:ascii="Cambria Math" w:eastAsia="仿宋" w:hAnsi="Cambria Math" w:cs="Cambria Math" w:hint="eastAsia"/>
                    <w:color w:val="000000"/>
                    <w:sz w:val="18"/>
                    <w:szCs w:val="18"/>
                  </w:rPr>
                  <m:t>各地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乡村人口数</m:t>
                </m:r>
              </m:e>
            </m:nary>
          </m:den>
        </m:f>
        <m:r>
          <m:rPr>
            <m:sty m:val="b"/>
          </m:rPr>
          <w:rPr>
            <w:rFonts w:ascii="Cambria Math" w:eastAsia="仿宋" w:hAnsi="Cambria Math" w:cs="Cambria Math"/>
            <w:color w:val="000000"/>
            <w:sz w:val="18"/>
            <w:szCs w:val="18"/>
          </w:rPr>
          <m:t>×35%+</m:t>
        </m:r>
        <m:f>
          <m:fPr>
            <m:ctrlPr>
              <w:rPr>
                <w:rFonts w:ascii="Cambria Math" w:eastAsia="仿宋" w:hAnsi="Cambria Math" w:cs="Cambria Math"/>
                <w:b/>
                <w:color w:val="000000"/>
                <w:sz w:val="18"/>
                <w:szCs w:val="18"/>
              </w:rPr>
            </m:ctrlPr>
          </m:fPr>
          <m:num>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村民委员会个数</m:t>
            </m:r>
          </m:num>
          <m:den>
            <m:nary>
              <m:naryPr>
                <m:chr m:val="∑"/>
                <m:limLoc m:val="undOvr"/>
                <m:subHide m:val="1"/>
                <m:supHide m:val="1"/>
                <m:ctrlPr>
                  <w:rPr>
                    <w:rFonts w:ascii="Cambria Math" w:eastAsia="仿宋" w:hAnsi="Cambria Math" w:cs="Cambria Math"/>
                    <w:b/>
                    <w:color w:val="000000"/>
                    <w:sz w:val="18"/>
                    <w:szCs w:val="18"/>
                  </w:rPr>
                </m:ctrlPr>
              </m:naryPr>
              <m:sub/>
              <m:sup/>
              <m:e>
                <m:r>
                  <m:rPr>
                    <m:sty m:val="b"/>
                  </m:rPr>
                  <w:rPr>
                    <w:rFonts w:ascii="Cambria Math" w:eastAsia="仿宋" w:hAnsi="Cambria Math" w:cs="Cambria Math" w:hint="eastAsia"/>
                    <w:color w:val="000000"/>
                    <w:sz w:val="18"/>
                    <w:szCs w:val="18"/>
                  </w:rPr>
                  <m:t>各地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村民委员会个数</m:t>
                </m:r>
              </m:e>
            </m:nary>
          </m:den>
        </m:f>
        <m:r>
          <m:rPr>
            <m:sty m:val="b"/>
          </m:rPr>
          <w:rPr>
            <w:rFonts w:ascii="Cambria Math" w:eastAsia="仿宋" w:hAnsi="Cambria Math" w:cs="Cambria Math"/>
            <w:color w:val="000000"/>
            <w:sz w:val="18"/>
            <w:szCs w:val="18"/>
          </w:rPr>
          <m:t>×10%+</m:t>
        </m:r>
        <m:f>
          <m:fPr>
            <m:ctrlPr>
              <w:rPr>
                <w:rFonts w:ascii="Cambria Math" w:eastAsia="仿宋" w:hAnsi="Cambria Math" w:cs="Cambria Math"/>
                <w:b/>
                <w:color w:val="000000"/>
                <w:sz w:val="18"/>
                <w:szCs w:val="18"/>
              </w:rPr>
            </m:ctrlPr>
          </m:fPr>
          <m:num>
            <m:rad>
              <m:radPr>
                <m:degHide m:val="1"/>
                <m:ctrlPr>
                  <w:rPr>
                    <w:rFonts w:ascii="Cambria Math" w:eastAsia="仿宋" w:hAnsi="Cambria Math" w:cs="Cambria Math"/>
                    <w:b/>
                    <w:color w:val="000000"/>
                    <w:sz w:val="18"/>
                    <w:szCs w:val="18"/>
                  </w:rPr>
                </m:ctrlPr>
              </m:radPr>
              <m:deg/>
              <m:e>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上年地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财政一般公共预算投入</m:t>
                </m:r>
              </m:e>
            </m:rad>
            <m:r>
              <m:rPr>
                <m:sty m:val="b"/>
              </m:rPr>
              <w:rPr>
                <w:rFonts w:ascii="Cambria Math" w:eastAsia="仿宋" w:hAnsi="Cambria Math" w:cs="Cambria Math"/>
                <w:color w:val="000000"/>
                <w:sz w:val="18"/>
                <w:szCs w:val="18"/>
              </w:rPr>
              <m:t>×</m:t>
            </m:r>
            <m:r>
              <m:rPr>
                <m:sty m:val="b"/>
              </m:rPr>
              <w:rPr>
                <w:rFonts w:ascii="Cambria Math" w:eastAsia="仿宋" w:hAnsi="Cambria Math" w:cs="Cambria Math" w:hint="eastAsia"/>
                <w:color w:val="000000"/>
                <w:sz w:val="18"/>
                <w:szCs w:val="18"/>
              </w:rPr>
              <m:t>该地（市）财政困难系数</m:t>
            </m:r>
          </m:num>
          <m:den>
            <m:nary>
              <m:naryPr>
                <m:chr m:val="∑"/>
                <m:limLoc m:val="undOvr"/>
                <m:subHide m:val="1"/>
                <m:supHide m:val="1"/>
                <m:ctrlPr>
                  <w:rPr>
                    <w:rFonts w:ascii="Cambria Math" w:eastAsia="仿宋" w:hAnsi="Cambria Math" w:cs="Cambria Math"/>
                    <w:b/>
                    <w:color w:val="000000"/>
                    <w:sz w:val="18"/>
                    <w:szCs w:val="18"/>
                  </w:rPr>
                </m:ctrlPr>
              </m:naryPr>
              <m:sub/>
              <m:sup/>
              <m:e>
                <m:d>
                  <m:dPr>
                    <m:ctrlPr>
                      <w:rPr>
                        <w:rFonts w:ascii="Cambria Math" w:eastAsia="仿宋" w:hAnsi="Cambria Math" w:cs="Cambria Math"/>
                        <w:b/>
                        <w:color w:val="000000"/>
                        <w:sz w:val="18"/>
                        <w:szCs w:val="18"/>
                      </w:rPr>
                    </m:ctrlPr>
                  </m:dPr>
                  <m:e>
                    <m:rad>
                      <m:radPr>
                        <m:degHide m:val="1"/>
                        <m:ctrlPr>
                          <w:rPr>
                            <w:rFonts w:ascii="Cambria Math" w:eastAsia="仿宋" w:hAnsi="Cambria Math" w:cs="Cambria Math"/>
                            <w:b/>
                            <w:color w:val="000000"/>
                            <w:sz w:val="18"/>
                            <w:szCs w:val="18"/>
                          </w:rPr>
                        </m:ctrlPr>
                      </m:radPr>
                      <m:deg/>
                      <m:e>
                        <m:r>
                          <m:rPr>
                            <m:sty m:val="b"/>
                          </m:rPr>
                          <w:rPr>
                            <w:rFonts w:ascii="Cambria Math" w:eastAsia="仿宋" w:hAnsi="Cambria Math" w:cs="Cambria Math" w:hint="eastAsia"/>
                            <w:color w:val="000000"/>
                            <w:sz w:val="18"/>
                            <w:szCs w:val="18"/>
                          </w:rPr>
                          <m:t>各地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上年地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财政一般公共预算投入</m:t>
                        </m:r>
                      </m:e>
                    </m:rad>
                    <m:r>
                      <m:rPr>
                        <m:sty m:val="b"/>
                      </m:rPr>
                      <w:rPr>
                        <w:rFonts w:ascii="Cambria Math" w:hAnsi="Cambria Math" w:cs="Cambria Math"/>
                        <w:color w:val="000000"/>
                        <w:sz w:val="18"/>
                        <w:szCs w:val="18"/>
                      </w:rPr>
                      <m:t>×</m:t>
                    </m:r>
                    <m:r>
                      <m:rPr>
                        <m:sty m:val="b"/>
                      </m:rPr>
                      <w:rPr>
                        <w:rFonts w:ascii="Cambria Math" w:eastAsia="仿宋" w:hAnsi="Cambria Math" w:cs="Cambria Math" w:hint="eastAsia"/>
                        <w:color w:val="000000"/>
                        <w:sz w:val="18"/>
                        <w:szCs w:val="18"/>
                      </w:rPr>
                      <m:t>各地（市）财政困难系数</m:t>
                    </m:r>
                  </m:e>
                </m:d>
              </m:e>
            </m:nary>
          </m:den>
        </m:f>
        <m:r>
          <m:rPr>
            <m:sty m:val="b"/>
          </m:rPr>
          <w:rPr>
            <w:rFonts w:ascii="Cambria Math" w:eastAsia="仿宋" w:hAnsi="Cambria Math" w:cs="Cambria Math"/>
            <w:color w:val="000000"/>
            <w:sz w:val="18"/>
            <w:szCs w:val="18"/>
          </w:rPr>
          <m:t>×30%+</m:t>
        </m:r>
        <m:f>
          <m:fPr>
            <m:ctrlPr>
              <w:rPr>
                <w:rFonts w:ascii="Cambria Math" w:eastAsia="仿宋" w:hAnsi="Cambria Math" w:cs="Cambria Math"/>
                <w:b/>
                <w:color w:val="000000"/>
                <w:sz w:val="18"/>
                <w:szCs w:val="18"/>
              </w:rPr>
            </m:ctrlPr>
          </m:fPr>
          <m:num>
            <m:rad>
              <m:radPr>
                <m:degHide m:val="1"/>
                <m:ctrlPr>
                  <w:rPr>
                    <w:rFonts w:ascii="Cambria Math" w:eastAsia="仿宋" w:hAnsi="Cambria Math" w:cs="Cambria Math"/>
                    <w:b/>
                    <w:color w:val="000000"/>
                    <w:sz w:val="18"/>
                    <w:szCs w:val="18"/>
                  </w:rPr>
                </m:ctrlPr>
              </m:radPr>
              <m:deg/>
              <m:e>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上年预算执行规模</m:t>
                </m:r>
              </m:e>
            </m:rad>
          </m:num>
          <m:den>
            <m:nary>
              <m:naryPr>
                <m:chr m:val="∑"/>
                <m:limLoc m:val="undOvr"/>
                <m:subHide m:val="1"/>
                <m:supHide m:val="1"/>
                <m:ctrlPr>
                  <w:rPr>
                    <w:rFonts w:ascii="Cambria Math" w:eastAsia="仿宋" w:hAnsi="Cambria Math" w:cs="Cambria Math"/>
                    <w:b/>
                    <w:color w:val="000000"/>
                    <w:sz w:val="18"/>
                    <w:szCs w:val="18"/>
                  </w:rPr>
                </m:ctrlPr>
              </m:naryPr>
              <m:sub/>
              <m:sup/>
              <m:e>
                <m:rad>
                  <m:radPr>
                    <m:degHide m:val="1"/>
                    <m:ctrlPr>
                      <w:rPr>
                        <w:rFonts w:ascii="Cambria Math" w:eastAsia="仿宋" w:hAnsi="Cambria Math" w:cs="Cambria Math"/>
                        <w:b/>
                        <w:color w:val="000000"/>
                        <w:sz w:val="18"/>
                        <w:szCs w:val="18"/>
                      </w:rPr>
                    </m:ctrlPr>
                  </m:radPr>
                  <m:deg/>
                  <m:e>
                    <m:r>
                      <m:rPr>
                        <m:sty m:val="b"/>
                      </m:rPr>
                      <w:rPr>
                        <w:rFonts w:ascii="Cambria Math" w:eastAsia="仿宋" w:hAnsi="Cambria Math" w:cs="Cambria Math" w:hint="eastAsia"/>
                        <w:color w:val="000000"/>
                        <w:sz w:val="18"/>
                        <w:szCs w:val="18"/>
                      </w:rPr>
                      <m:t>各地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上年地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预算执行规模</m:t>
                    </m:r>
                  </m:e>
                </m:rad>
              </m:e>
            </m:nary>
          </m:den>
        </m:f>
        <m:r>
          <m:rPr>
            <m:sty m:val="b"/>
          </m:rPr>
          <w:rPr>
            <w:rFonts w:ascii="Cambria Math" w:eastAsia="仿宋" w:hAnsi="Cambria Math" w:cs="Cambria Math"/>
            <w:color w:val="000000"/>
            <w:sz w:val="18"/>
            <w:szCs w:val="18"/>
          </w:rPr>
          <m:t>×20%+</m:t>
        </m:r>
        <m:f>
          <m:fPr>
            <m:ctrlPr>
              <w:rPr>
                <w:rFonts w:ascii="Cambria Math" w:eastAsia="仿宋" w:hAnsi="Cambria Math" w:cs="Cambria Math"/>
                <w:b/>
                <w:color w:val="000000"/>
                <w:sz w:val="18"/>
                <w:szCs w:val="18"/>
              </w:rPr>
            </m:ctrlPr>
          </m:fPr>
          <m:num>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资金使用管理监督情况</m:t>
            </m:r>
          </m:num>
          <m:den>
            <m:nary>
              <m:naryPr>
                <m:chr m:val="∑"/>
                <m:limLoc m:val="undOvr"/>
                <m:subHide m:val="1"/>
                <m:supHide m:val="1"/>
                <m:ctrlPr>
                  <w:rPr>
                    <w:rFonts w:ascii="Cambria Math" w:eastAsia="仿宋" w:hAnsi="Cambria Math" w:cs="Cambria Math"/>
                    <w:b/>
                    <w:color w:val="000000"/>
                    <w:sz w:val="18"/>
                    <w:szCs w:val="18"/>
                  </w:rPr>
                </m:ctrlPr>
              </m:naryPr>
              <m:sub/>
              <m:sup/>
              <m:e>
                <m:r>
                  <m:rPr>
                    <m:sty m:val="b"/>
                  </m:rPr>
                  <w:rPr>
                    <w:rFonts w:ascii="Cambria Math" w:eastAsia="仿宋" w:hAnsi="Cambria Math" w:cs="Cambria Math" w:hint="eastAsia"/>
                    <w:color w:val="000000"/>
                    <w:sz w:val="18"/>
                    <w:szCs w:val="18"/>
                  </w:rPr>
                  <m:t>各地</m:t>
                </m:r>
                <m:d>
                  <m:dPr>
                    <m:begChr m:val="（"/>
                    <m:endChr m:val="）"/>
                    <m:ctrlPr>
                      <w:rPr>
                        <w:rFonts w:ascii="Cambria Math" w:eastAsia="仿宋" w:hAnsi="Cambria Math" w:cs="Cambria Math"/>
                        <w:b/>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资金使用管理监督情况</m:t>
                </m:r>
              </m:e>
            </m:nary>
          </m:den>
        </m:f>
        <m:r>
          <m:rPr>
            <m:sty m:val="b"/>
          </m:rPr>
          <w:rPr>
            <w:rFonts w:ascii="Cambria Math" w:eastAsia="仿宋" w:hAnsi="Cambria Math" w:cs="Cambria Math"/>
            <w:color w:val="000000"/>
            <w:sz w:val="18"/>
            <w:szCs w:val="18"/>
          </w:rPr>
          <m:t xml:space="preserve">×5% </m:t>
        </m:r>
      </m:oMath>
      <w:r>
        <w:rPr>
          <w:rFonts w:ascii="DejaVu Math TeX Gyre" w:eastAsia="仿宋" w:hAnsi="DejaVu Math TeX Gyre" w:cs="仿宋"/>
          <w:b/>
          <w:bCs/>
          <w:color w:val="000000"/>
          <w:sz w:val="10"/>
          <w:szCs w:val="10"/>
        </w:rPr>
        <w:t xml:space="preserve"> </w:t>
      </w:r>
    </w:p>
    <w:p w:rsidR="00A904EE" w:rsidRDefault="00A904EE" w:rsidP="00A904EE">
      <w:pPr>
        <w:widowControl/>
        <w:wordWrap w:val="0"/>
        <w:topLinePunct/>
        <w:ind w:firstLineChars="200" w:firstLine="201"/>
        <w:jc w:val="left"/>
        <w:rPr>
          <w:rFonts w:ascii="DejaVu Math TeX Gyre" w:eastAsia="仿宋" w:hAnsi="DejaVu Math TeX Gyre" w:cs="仿宋"/>
          <w:b/>
          <w:bCs/>
          <w:color w:val="000000"/>
          <w:sz w:val="10"/>
          <w:szCs w:val="10"/>
        </w:rPr>
      </w:pPr>
    </w:p>
    <w:p w:rsidR="00A904EE" w:rsidRDefault="00A904EE" w:rsidP="00A904EE">
      <w:pPr>
        <w:widowControl/>
        <w:wordWrap w:val="0"/>
        <w:topLinePunct/>
        <w:ind w:firstLineChars="200" w:firstLine="361"/>
        <w:jc w:val="left"/>
        <w:rPr>
          <w:rFonts w:ascii="仿宋" w:eastAsia="仿宋" w:hAnsi="仿宋" w:cs="仿宋"/>
          <w:b/>
          <w:bCs/>
          <w:color w:val="000000"/>
          <w:sz w:val="18"/>
          <w:szCs w:val="18"/>
        </w:rPr>
      </w:pPr>
      <w:r>
        <w:rPr>
          <w:rFonts w:ascii="仿宋" w:eastAsia="仿宋" w:hAnsi="仿宋" w:cs="仿宋"/>
          <w:b/>
          <w:color w:val="000000"/>
          <w:sz w:val="18"/>
          <w:szCs w:val="18"/>
        </w:rPr>
        <w:t xml:space="preserve"> </w:t>
      </w:r>
      <m:oMath>
        <m:r>
          <m:rPr>
            <m:sty m:val="b"/>
          </m:rPr>
          <w:rPr>
            <w:rFonts w:ascii="Cambria Math" w:eastAsia="仿宋" w:hAnsi="Cambria Math" w:cs="Cambria Math"/>
            <w:color w:val="000000"/>
            <w:sz w:val="18"/>
            <w:szCs w:val="18"/>
          </w:rPr>
          <m:t>X</m:t>
        </m:r>
        <m:r>
          <m:rPr>
            <m:sty m:val="b"/>
          </m:rPr>
          <w:rPr>
            <w:rFonts w:ascii="Cambria Math" w:eastAsia="仿宋" w:hAnsi="Cambria Math" w:cs="Cambria Math" w:hint="eastAsia"/>
            <w:color w:val="000000"/>
            <w:sz w:val="18"/>
            <w:szCs w:val="18"/>
          </w:rPr>
          <m:t>地（市）农村公益事业建设财政奖补补助金额</m:t>
        </m:r>
        <m:r>
          <m:rPr>
            <m:sty m:val="b"/>
          </m:rPr>
          <w:rPr>
            <w:rFonts w:ascii="Cambria Math" w:eastAsia="仿宋" w:hAnsi="Cambria Math" w:cs="Cambria Math"/>
            <w:color w:val="000000"/>
            <w:sz w:val="18"/>
            <w:szCs w:val="18"/>
          </w:rPr>
          <m:t>=</m:t>
        </m:r>
        <m:box>
          <m:boxPr>
            <m:ctrlPr>
              <w:rPr>
                <w:rFonts w:ascii="Cambria Math" w:eastAsia="仿宋" w:hAnsi="Cambria Math" w:cs="Cambria Math" w:hint="eastAsia"/>
                <w:b/>
                <w:bCs/>
                <w:color w:val="000000"/>
                <w:sz w:val="18"/>
                <w:szCs w:val="18"/>
              </w:rPr>
            </m:ctrlPr>
          </m:boxPr>
          <m:e>
            <m:eqArr>
              <m:eqArrPr>
                <m:ctrlPr>
                  <w:rPr>
                    <w:rFonts w:ascii="Cambria Math" w:eastAsia="仿宋" w:hAnsi="Cambria Math" w:cs="Cambria Math" w:hint="eastAsia"/>
                    <w:b/>
                    <w:bCs/>
                    <w:color w:val="000000"/>
                    <w:sz w:val="18"/>
                    <w:szCs w:val="18"/>
                  </w:rPr>
                </m:ctrlPr>
              </m:eqArrPr>
              <m:e>
                <m:f>
                  <m:fPr>
                    <m:ctrlPr>
                      <w:rPr>
                        <w:rFonts w:ascii="Cambria Math" w:eastAsia="仿宋" w:hAnsi="Cambria Math" w:cs="Cambria Math" w:hint="eastAsia"/>
                        <w:b/>
                        <w:bCs/>
                        <w:color w:val="000000"/>
                        <w:sz w:val="18"/>
                        <w:szCs w:val="18"/>
                      </w:rPr>
                    </m:ctrlPr>
                  </m:fPr>
                  <m:num>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hint="eastAsia"/>
                            <w:b/>
                            <w:bCs/>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仿宋" w:hint="eastAsia"/>
                        <w:color w:val="000000"/>
                        <w:sz w:val="18"/>
                        <w:szCs w:val="18"/>
                      </w:rPr>
                      <m:t>农村公益事业建设财政奖补资金分配系数（未经绩效调节）</m:t>
                    </m:r>
                    <m:r>
                      <m:rPr>
                        <m:sty m:val="b"/>
                      </m:rPr>
                      <w:rPr>
                        <w:rFonts w:ascii="Cambria Math" w:eastAsia="仿宋" w:hAnsi="Cambria Math" w:cs="Cambria Math" w:hint="eastAsia"/>
                        <w:color w:val="000000"/>
                        <w:sz w:val="18"/>
                        <w:szCs w:val="18"/>
                      </w:rPr>
                      <m:t>×该地</m:t>
                    </m:r>
                    <m:d>
                      <m:dPr>
                        <m:begChr m:val="（"/>
                        <m:endChr m:val="）"/>
                        <m:ctrlPr>
                          <w:rPr>
                            <w:rFonts w:ascii="Cambria Math" w:eastAsia="仿宋" w:hAnsi="Cambria Math" w:cs="Cambria Math" w:hint="eastAsia"/>
                            <w:b/>
                            <w:bCs/>
                            <w:color w:val="000000"/>
                            <w:sz w:val="18"/>
                            <w:szCs w:val="18"/>
                          </w:rPr>
                        </m:ctrlPr>
                      </m:dPr>
                      <m:e>
                        <m:r>
                          <m:rPr>
                            <m:sty m:val="b"/>
                          </m:rPr>
                          <w:rPr>
                            <w:rFonts w:ascii="Cambria Math" w:eastAsia="仿宋" w:hAnsi="Cambria Math" w:cs="Cambria Math" w:hint="eastAsia"/>
                            <w:color w:val="000000"/>
                            <w:sz w:val="18"/>
                            <w:szCs w:val="18"/>
                          </w:rPr>
                          <m:t>市</m:t>
                        </m:r>
                      </m:e>
                    </m:d>
                    <m:r>
                      <m:rPr>
                        <m:sty m:val="b"/>
                      </m:rPr>
                      <w:rPr>
                        <w:rFonts w:ascii="Cambria Math" w:eastAsia="仿宋" w:hAnsi="Cambria Math" w:cs="Cambria Math" w:hint="eastAsia"/>
                        <w:color w:val="000000"/>
                        <w:sz w:val="18"/>
                        <w:szCs w:val="18"/>
                      </w:rPr>
                      <m:t>绩效系数</m:t>
                    </m:r>
                  </m:num>
                  <m:den>
                    <m:nary>
                      <m:naryPr>
                        <m:chr m:val="∑"/>
                        <m:limLoc m:val="undOvr"/>
                        <m:subHide m:val="1"/>
                        <m:supHide m:val="1"/>
                        <m:ctrlPr>
                          <w:rPr>
                            <w:rFonts w:ascii="Cambria Math" w:eastAsia="仿宋" w:hAnsi="Cambria Math" w:cs="Cambria Math" w:hint="eastAsia"/>
                            <w:b/>
                            <w:bCs/>
                            <w:color w:val="000000"/>
                            <w:sz w:val="18"/>
                            <w:szCs w:val="18"/>
                          </w:rPr>
                        </m:ctrlPr>
                      </m:naryPr>
                      <m:sub/>
                      <m:sup/>
                      <m:e>
                        <m:d>
                          <m:dPr>
                            <m:ctrlPr>
                              <w:rPr>
                                <w:rFonts w:ascii="Cambria Math" w:eastAsia="仿宋" w:hAnsi="Cambria Math" w:cs="Cambria Math" w:hint="eastAsia"/>
                                <w:b/>
                                <w:bCs/>
                                <w:color w:val="000000"/>
                                <w:sz w:val="18"/>
                                <w:szCs w:val="18"/>
                              </w:rPr>
                            </m:ctrlPr>
                          </m:dPr>
                          <m:e>
                            <m:r>
                              <m:rPr>
                                <m:sty m:val="b"/>
                              </m:rPr>
                              <w:rPr>
                                <w:rFonts w:ascii="Cambria Math" w:eastAsia="仿宋" w:hAnsi="Cambria Math" w:cs="Cambria Math" w:hint="eastAsia"/>
                                <w:color w:val="000000"/>
                                <w:sz w:val="18"/>
                                <w:szCs w:val="18"/>
                              </w:rPr>
                              <m:t>各地（市）农村公益事业建设财政奖补资金分配系数（未经绩效调节）</m:t>
                            </m:r>
                            <m:r>
                              <m:rPr>
                                <m:sty m:val="b"/>
                              </m:rPr>
                              <w:rPr>
                                <w:rFonts w:ascii="Cambria Math" w:hAnsi="Cambria Math" w:cs="Cambria Math" w:hint="eastAsia"/>
                                <w:color w:val="000000"/>
                                <w:sz w:val="18"/>
                                <w:szCs w:val="18"/>
                              </w:rPr>
                              <m:t>×</m:t>
                            </m:r>
                            <m:r>
                              <m:rPr>
                                <m:sty m:val="b"/>
                              </m:rPr>
                              <w:rPr>
                                <w:rFonts w:ascii="Cambria Math" w:eastAsia="仿宋" w:hAnsi="Cambria Math" w:cs="Cambria Math" w:hint="eastAsia"/>
                                <w:color w:val="000000"/>
                                <w:sz w:val="18"/>
                                <w:szCs w:val="18"/>
                              </w:rPr>
                              <m:t>各地（市）的绩效系数</m:t>
                            </m:r>
                          </m:e>
                        </m:d>
                      </m:e>
                    </m:nary>
                  </m:den>
                </m:f>
                <m:r>
                  <m:rPr>
                    <m:sty m:val="b"/>
                  </m:rPr>
                  <w:rPr>
                    <w:rFonts w:ascii="Cambria Math" w:hAnsi="Cambria Math" w:cs="仿宋" w:hint="eastAsia"/>
                    <w:color w:val="000000"/>
                    <w:sz w:val="18"/>
                    <w:szCs w:val="18"/>
                  </w:rPr>
                  <m:t>×</m:t>
                </m:r>
                <m:r>
                  <m:rPr>
                    <m:sty m:val="b"/>
                  </m:rPr>
                  <w:rPr>
                    <w:rFonts w:ascii="Cambria Math" w:eastAsia="仿宋" w:hAnsi="Cambria Math" w:cs="仿宋" w:hint="eastAsia"/>
                    <w:color w:val="000000"/>
                    <w:sz w:val="18"/>
                    <w:szCs w:val="18"/>
                  </w:rPr>
                  <m:t>农村公益事业建设财政奖补预算总金额</m:t>
                </m:r>
              </m:e>
            </m:eqArr>
          </m:e>
        </m:box>
      </m:oMath>
    </w:p>
    <w:p w:rsidR="00A904EE" w:rsidRDefault="00A904EE" w:rsidP="00A904EE">
      <w:pPr>
        <w:shd w:val="clear" w:color="auto" w:fill="FFFFFF"/>
        <w:spacing w:line="578" w:lineRule="exact"/>
        <w:ind w:firstLineChars="200" w:firstLine="640"/>
        <w:jc w:val="left"/>
        <w:rPr>
          <w:rFonts w:ascii="仿宋" w:eastAsia="仿宋" w:hAnsi="仿宋" w:cs="Segoe UI"/>
          <w:color w:val="0F1115"/>
          <w:kern w:val="0"/>
          <w:sz w:val="32"/>
          <w:szCs w:val="32"/>
        </w:rPr>
      </w:pPr>
      <w:r>
        <w:rPr>
          <w:rFonts w:ascii="仿宋" w:eastAsia="仿宋" w:hAnsi="仿宋" w:cs="Segoe UI"/>
          <w:bCs/>
          <w:color w:val="0F1115"/>
          <w:kern w:val="0"/>
          <w:sz w:val="32"/>
          <w:szCs w:val="32"/>
        </w:rPr>
        <w:t>对落实党中央、国务院及自治区党委、政府有关部署，按程序承担农村综合改革发展相关示范试点的地区实行定额补助。</w:t>
      </w: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第四章 预算下达</w:t>
      </w:r>
    </w:p>
    <w:p w:rsidR="00A904EE" w:rsidRDefault="00A904EE" w:rsidP="00A904EE">
      <w:pPr>
        <w:shd w:val="clear" w:color="auto" w:fill="FFFFFF"/>
        <w:spacing w:line="578" w:lineRule="exact"/>
        <w:ind w:firstLineChars="200" w:firstLine="643"/>
        <w:rPr>
          <w:rFonts w:ascii="仿宋" w:eastAsia="仿宋" w:hAnsi="仿宋" w:cs="Segoe UI"/>
          <w:b/>
          <w:color w:val="000000"/>
          <w:kern w:val="0"/>
          <w:sz w:val="32"/>
          <w:szCs w:val="32"/>
        </w:rPr>
      </w:pPr>
      <w:r>
        <w:rPr>
          <w:rFonts w:ascii="仿宋" w:eastAsia="仿宋" w:hAnsi="仿宋" w:cs="Segoe UI"/>
          <w:b/>
          <w:bCs/>
          <w:color w:val="0F1115"/>
          <w:kern w:val="0"/>
          <w:sz w:val="32"/>
          <w:szCs w:val="32"/>
        </w:rPr>
        <w:t>第十一条</w:t>
      </w:r>
      <w:r>
        <w:rPr>
          <w:rFonts w:ascii="仿宋" w:eastAsia="仿宋" w:hAnsi="仿宋" w:cs="Segoe UI" w:hint="eastAsia"/>
          <w:b/>
          <w:bCs/>
          <w:color w:val="0F1115"/>
          <w:kern w:val="0"/>
          <w:sz w:val="32"/>
          <w:szCs w:val="32"/>
        </w:rPr>
        <w:t xml:space="preserve"> </w:t>
      </w:r>
      <w:r>
        <w:rPr>
          <w:rFonts w:ascii="仿宋" w:eastAsia="仿宋" w:hAnsi="仿宋" w:cs="仿宋" w:hint="eastAsia"/>
          <w:color w:val="000000"/>
          <w:kern w:val="0"/>
          <w:sz w:val="32"/>
          <w:szCs w:val="32"/>
        </w:rPr>
        <w:t>自治区财政厅在接到中央财政农村综合改革转移支付预算后的</w:t>
      </w:r>
      <w:r>
        <w:rPr>
          <w:rFonts w:ascii="仿宋" w:eastAsia="仿宋" w:hAnsi="仿宋" w:cs="仿宋" w:hint="eastAsia"/>
          <w:bCs/>
          <w:color w:val="000000"/>
          <w:kern w:val="0"/>
          <w:sz w:val="32"/>
          <w:szCs w:val="32"/>
        </w:rPr>
        <w:t>规定时限</w:t>
      </w:r>
      <w:r>
        <w:rPr>
          <w:rFonts w:ascii="仿宋" w:eastAsia="仿宋" w:hAnsi="仿宋" w:cs="仿宋" w:hint="eastAsia"/>
          <w:color w:val="000000"/>
          <w:kern w:val="0"/>
          <w:sz w:val="32"/>
          <w:szCs w:val="32"/>
        </w:rPr>
        <w:t>内，会同自治区农业农村厅按规定程序分解下达</w:t>
      </w:r>
      <w:r>
        <w:rPr>
          <w:rFonts w:ascii="仿宋" w:eastAsia="仿宋" w:hAnsi="仿宋" w:cs="Segoe UI"/>
          <w:color w:val="000000"/>
          <w:kern w:val="0"/>
          <w:sz w:val="32"/>
          <w:szCs w:val="32"/>
        </w:rPr>
        <w:t>，同时报财政部、农业农村部备案并抄送自治区农业农村厅、财政部四川监管局。自治区本级安排的农村综合改革转移支付在自治区人民代表大会批准预算后的规定时限内分解下达。自治区财政结合中央财政提前下达资金规模和本级预算安排情况，提前下达农村综合改革转移支付，原则上提前下达</w:t>
      </w:r>
      <w:r>
        <w:rPr>
          <w:rFonts w:ascii="仿宋" w:eastAsia="仿宋" w:hAnsi="仿宋" w:cs="Segoe UI" w:hint="eastAsia"/>
          <w:color w:val="000000"/>
          <w:kern w:val="0"/>
          <w:sz w:val="32"/>
          <w:szCs w:val="32"/>
        </w:rPr>
        <w:t>部分</w:t>
      </w:r>
      <w:r>
        <w:rPr>
          <w:rFonts w:ascii="仿宋" w:eastAsia="仿宋" w:hAnsi="仿宋" w:cs="Segoe UI"/>
          <w:color w:val="000000"/>
          <w:kern w:val="0"/>
          <w:sz w:val="32"/>
          <w:szCs w:val="32"/>
        </w:rPr>
        <w:t>资金，实行定额补助等有明确要求的除外。自治区财政</w:t>
      </w:r>
      <w:r>
        <w:rPr>
          <w:rFonts w:ascii="仿宋" w:eastAsia="仿宋" w:hAnsi="仿宋" w:cs="Segoe UI" w:hint="eastAsia"/>
          <w:color w:val="000000"/>
          <w:kern w:val="0"/>
          <w:sz w:val="32"/>
          <w:szCs w:val="32"/>
        </w:rPr>
        <w:t>部门</w:t>
      </w:r>
      <w:r>
        <w:rPr>
          <w:rFonts w:ascii="仿宋" w:eastAsia="仿宋" w:hAnsi="仿宋" w:cs="Segoe UI"/>
          <w:color w:val="000000"/>
          <w:kern w:val="0"/>
          <w:sz w:val="32"/>
          <w:szCs w:val="32"/>
        </w:rPr>
        <w:t>在正式下达农村综合改革转移支付预算时，一并下达各地（市）农村综合改革年度重点任务和绩效目标。</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F1115"/>
          <w:kern w:val="0"/>
          <w:sz w:val="32"/>
          <w:szCs w:val="32"/>
        </w:rPr>
        <w:t>第十二条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农村综合改革转移支付资金分配结果在资金预算下达文件印发后20日内向社会公开，涉及国家秘密的除外。</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第十三条 </w:t>
      </w:r>
      <w:r>
        <w:rPr>
          <w:rFonts w:ascii="仿宋" w:eastAsia="仿宋" w:hAnsi="仿宋" w:cs="Segoe UI"/>
          <w:color w:val="000000"/>
          <w:kern w:val="0"/>
          <w:sz w:val="32"/>
          <w:szCs w:val="32"/>
        </w:rPr>
        <w:t>各地（市）、县（区、市）财政部门会同同级农业农村部门应结合农村综合改革年度重点任务、本地农村综合改革实际情况等，安排本级相关资金，保障农村综合改革工作顺利开展。各地（市）、县（区、市）财政部门安排的农村综合改革转</w:t>
      </w:r>
      <w:r>
        <w:rPr>
          <w:rFonts w:ascii="仿宋" w:eastAsia="仿宋" w:hAnsi="仿宋" w:cs="Segoe UI"/>
          <w:color w:val="000000"/>
          <w:kern w:val="0"/>
          <w:sz w:val="32"/>
          <w:szCs w:val="32"/>
        </w:rPr>
        <w:lastRenderedPageBreak/>
        <w:t>移支付，可参照本办法确定符合本地实际的分配使用机制，确保资金使用绩效。</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00000"/>
          <w:kern w:val="0"/>
          <w:sz w:val="32"/>
          <w:szCs w:val="32"/>
        </w:rPr>
        <w:t xml:space="preserve">第十四条 </w:t>
      </w:r>
      <w:r>
        <w:rPr>
          <w:rFonts w:ascii="仿宋" w:eastAsia="仿宋" w:hAnsi="仿宋" w:cs="Segoe UI"/>
          <w:color w:val="000000"/>
          <w:kern w:val="0"/>
          <w:sz w:val="32"/>
          <w:szCs w:val="32"/>
        </w:rPr>
        <w:t>各地（市）、县（区、市）财政部门会同同级农业农村部门，按照相关财政规划要求，做好转移支付</w:t>
      </w:r>
      <w:r>
        <w:rPr>
          <w:rFonts w:ascii="仿宋" w:eastAsia="仿宋" w:hAnsi="仿宋" w:cs="Segoe UI"/>
          <w:color w:val="0F1115"/>
          <w:kern w:val="0"/>
          <w:sz w:val="32"/>
          <w:szCs w:val="32"/>
        </w:rPr>
        <w:t>资金使用规划，加强与中央、自治区财政补助资金和有关工作任务的衔接，不得将中央、自治区财政资金用于明确应由地（市）、县（区、市）承担支出责任的任务。</w:t>
      </w:r>
    </w:p>
    <w:p w:rsidR="00A904EE" w:rsidRDefault="00A904EE" w:rsidP="00A904EE">
      <w:pPr>
        <w:shd w:val="clear" w:color="auto" w:fill="FFFFFF"/>
        <w:spacing w:line="578" w:lineRule="exact"/>
        <w:ind w:firstLineChars="200" w:firstLine="640"/>
        <w:rPr>
          <w:rFonts w:ascii="黑体" w:eastAsia="黑体" w:hAnsi="黑体" w:cs="Segoe UI"/>
          <w:color w:val="0F1115"/>
          <w:kern w:val="0"/>
          <w:sz w:val="32"/>
          <w:szCs w:val="32"/>
        </w:rPr>
      </w:pP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第五章 预算管理和监督</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F1115"/>
          <w:kern w:val="0"/>
          <w:sz w:val="32"/>
          <w:szCs w:val="32"/>
        </w:rPr>
        <w:t>第十五条</w:t>
      </w:r>
      <w:r>
        <w:rPr>
          <w:rFonts w:ascii="仿宋" w:eastAsia="仿宋" w:hAnsi="仿宋" w:cs="Segoe UI" w:hint="eastAsia"/>
          <w:b/>
          <w:bCs/>
          <w:color w:val="0F1115"/>
          <w:kern w:val="0"/>
          <w:sz w:val="32"/>
          <w:szCs w:val="32"/>
        </w:rPr>
        <w:t xml:space="preserve"> </w:t>
      </w:r>
      <w:r>
        <w:rPr>
          <w:rFonts w:ascii="仿宋" w:eastAsia="仿宋" w:hAnsi="仿宋" w:cs="Segoe UI"/>
          <w:color w:val="0F1115"/>
          <w:kern w:val="0"/>
          <w:sz w:val="32"/>
          <w:szCs w:val="32"/>
        </w:rPr>
        <w:t>农村综合改革转移支付资金的支付应当按照国库集中支付制度有关规定执行。涉及政府采购的，应当按照政府采购法律制度规定执行。</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第十六条 </w:t>
      </w:r>
      <w:r>
        <w:rPr>
          <w:rFonts w:ascii="仿宋" w:eastAsia="仿宋" w:hAnsi="仿宋" w:cs="Segoe UI"/>
          <w:color w:val="000000"/>
          <w:kern w:val="0"/>
          <w:sz w:val="32"/>
          <w:szCs w:val="32"/>
        </w:rPr>
        <w:t>各地（市）、县（区、市）财政、农业农村部门应加强农村综合改革转移支付使用管理，自觉依法接受审计监督和财会监督。</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第十七条 </w:t>
      </w:r>
      <w:r>
        <w:rPr>
          <w:rFonts w:ascii="仿宋" w:eastAsia="仿宋" w:hAnsi="仿宋" w:cs="Segoe UI"/>
          <w:color w:val="000000"/>
          <w:kern w:val="0"/>
          <w:sz w:val="32"/>
          <w:szCs w:val="32"/>
        </w:rPr>
        <w:t>农村综合改革转移支付资金应当按照全面实施预算绩效管理的要求，建立健全</w:t>
      </w:r>
      <w:proofErr w:type="gramStart"/>
      <w:r>
        <w:rPr>
          <w:rFonts w:ascii="仿宋" w:eastAsia="仿宋" w:hAnsi="仿宋" w:cs="Segoe UI"/>
          <w:color w:val="000000"/>
          <w:kern w:val="0"/>
          <w:sz w:val="32"/>
          <w:szCs w:val="32"/>
        </w:rPr>
        <w:t>全</w:t>
      </w:r>
      <w:proofErr w:type="gramEnd"/>
      <w:r>
        <w:rPr>
          <w:rFonts w:ascii="仿宋" w:eastAsia="仿宋" w:hAnsi="仿宋" w:cs="Segoe UI"/>
          <w:color w:val="000000"/>
          <w:kern w:val="0"/>
          <w:sz w:val="32"/>
          <w:szCs w:val="32"/>
        </w:rPr>
        <w:t>过程预算绩效管理机制。各级财政、农业农村部门要加强绩效目标管理，按要求科学合理设定、审核绩效目标。预算执行中，各级农业农村、财政按要求开展绩效运行监控，及时发现并纠正存在的问题，确保绩效目标如期实现。预算执行结束后，</w:t>
      </w:r>
      <w:r>
        <w:rPr>
          <w:rFonts w:ascii="仿宋" w:eastAsia="仿宋" w:hAnsi="仿宋" w:cs="仿宋" w:hint="eastAsia"/>
          <w:color w:val="000000"/>
          <w:kern w:val="0"/>
          <w:sz w:val="32"/>
          <w:szCs w:val="32"/>
        </w:rPr>
        <w:t>各地（市）、县（区、市）农业农村部门会同财政部门按职责和要求对绩效目标完成情况开展绩效自评，</w:t>
      </w:r>
      <w:r>
        <w:rPr>
          <w:rFonts w:ascii="仿宋" w:eastAsia="仿宋" w:hAnsi="仿宋" w:cs="仿宋" w:hint="eastAsia"/>
          <w:color w:val="000000"/>
          <w:kern w:val="0"/>
          <w:sz w:val="32"/>
          <w:szCs w:val="32"/>
        </w:rPr>
        <w:lastRenderedPageBreak/>
        <w:t>并将绩效自评结果报自治区农业农村厅、财政厅。自治区农业农村厅</w:t>
      </w:r>
      <w:r>
        <w:rPr>
          <w:rFonts w:ascii="仿宋" w:eastAsia="仿宋" w:hAnsi="仿宋" w:cs="仿宋"/>
          <w:color w:val="000000"/>
          <w:kern w:val="0"/>
          <w:sz w:val="32"/>
          <w:szCs w:val="32"/>
        </w:rPr>
        <w:t>会同</w:t>
      </w:r>
      <w:r>
        <w:rPr>
          <w:rFonts w:ascii="仿宋" w:eastAsia="仿宋" w:hAnsi="仿宋" w:cs="仿宋" w:hint="eastAsia"/>
          <w:color w:val="000000"/>
          <w:kern w:val="0"/>
          <w:sz w:val="32"/>
          <w:szCs w:val="32"/>
        </w:rPr>
        <w:t>财政厅按程序汇总审核形成绩效自评结果，报送农业农村部、财政部，抄送财政部四川监管局</w:t>
      </w:r>
      <w:r>
        <w:rPr>
          <w:rFonts w:ascii="仿宋" w:eastAsia="仿宋" w:hAnsi="仿宋" w:cs="Segoe UI"/>
          <w:color w:val="000000"/>
          <w:kern w:val="0"/>
          <w:sz w:val="32"/>
          <w:szCs w:val="32"/>
        </w:rPr>
        <w:t>。自治区财政厅根据工作需要适时组织开展重点绩效评价。各级财政、农业农村部门按规定做好绩效信息公开。</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F1115"/>
          <w:kern w:val="0"/>
          <w:sz w:val="32"/>
          <w:szCs w:val="32"/>
        </w:rPr>
        <w:t>第十八条</w:t>
      </w:r>
      <w:r>
        <w:rPr>
          <w:rFonts w:ascii="仿宋" w:eastAsia="仿宋" w:hAnsi="仿宋" w:cs="Segoe UI" w:hint="eastAsia"/>
          <w:b/>
          <w:bCs/>
          <w:color w:val="0F1115"/>
          <w:kern w:val="0"/>
          <w:sz w:val="32"/>
          <w:szCs w:val="32"/>
        </w:rPr>
        <w:t xml:space="preserve"> </w:t>
      </w:r>
      <w:r>
        <w:rPr>
          <w:rFonts w:ascii="仿宋" w:eastAsia="仿宋" w:hAnsi="仿宋" w:cs="Segoe UI"/>
          <w:color w:val="000000"/>
          <w:kern w:val="0"/>
          <w:sz w:val="32"/>
          <w:szCs w:val="32"/>
        </w:rPr>
        <w:t>各级财政、农业农村部门要加强绩效评价结果运用，将评价结果作为预算安排、改进管理、完善政策的重要依据。各级财政、农业农村部门应在资金分配、竞争立项等工作中加强绩效评价结果运用，推动切实加强资金项目管理。</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第十九条 </w:t>
      </w:r>
      <w:r>
        <w:rPr>
          <w:rFonts w:ascii="仿宋" w:eastAsia="仿宋" w:hAnsi="仿宋" w:cs="Segoe UI"/>
          <w:color w:val="000000"/>
          <w:kern w:val="0"/>
          <w:sz w:val="32"/>
          <w:szCs w:val="32"/>
        </w:rPr>
        <w:t>各级财政、农业农村部门会同相关部门及时将资金落实到具体地区和项目，督促地方和相关部门做实项目前期工作，依法合</w:t>
      </w:r>
      <w:proofErr w:type="gramStart"/>
      <w:r>
        <w:rPr>
          <w:rFonts w:ascii="仿宋" w:eastAsia="仿宋" w:hAnsi="仿宋" w:cs="Segoe UI"/>
          <w:color w:val="000000"/>
          <w:kern w:val="0"/>
          <w:sz w:val="32"/>
          <w:szCs w:val="32"/>
        </w:rPr>
        <w:t>规</w:t>
      </w:r>
      <w:proofErr w:type="gramEnd"/>
      <w:r>
        <w:rPr>
          <w:rFonts w:ascii="仿宋" w:eastAsia="仿宋" w:hAnsi="仿宋" w:cs="Segoe UI"/>
          <w:color w:val="000000"/>
          <w:kern w:val="0"/>
          <w:sz w:val="32"/>
          <w:szCs w:val="32"/>
        </w:rPr>
        <w:t>加快预算执行进度，按照项目进度科学安排支出，严禁“以拨代支”和违规整合，提高资金使用效益。结转结余资金按照有关规定执行。</w:t>
      </w:r>
    </w:p>
    <w:p w:rsidR="00A904EE" w:rsidRDefault="00A904EE" w:rsidP="00A904EE">
      <w:pPr>
        <w:shd w:val="clear" w:color="auto" w:fill="FFFFFF"/>
        <w:spacing w:line="578" w:lineRule="exact"/>
        <w:ind w:firstLineChars="200" w:firstLine="643"/>
        <w:rPr>
          <w:rFonts w:ascii="仿宋" w:eastAsia="仿宋" w:hAnsi="仿宋" w:cs="Segoe UI"/>
          <w:color w:val="0F1115"/>
          <w:kern w:val="0"/>
          <w:sz w:val="32"/>
          <w:szCs w:val="32"/>
        </w:rPr>
      </w:pPr>
      <w:r>
        <w:rPr>
          <w:rFonts w:ascii="仿宋" w:eastAsia="仿宋" w:hAnsi="仿宋" w:cs="Segoe UI"/>
          <w:b/>
          <w:bCs/>
          <w:color w:val="000000"/>
          <w:kern w:val="0"/>
          <w:sz w:val="32"/>
          <w:szCs w:val="32"/>
        </w:rPr>
        <w:t xml:space="preserve">第二十条 </w:t>
      </w:r>
      <w:r>
        <w:rPr>
          <w:rFonts w:ascii="仿宋" w:eastAsia="仿宋" w:hAnsi="仿宋" w:cs="Segoe UI"/>
          <w:color w:val="000000"/>
          <w:kern w:val="0"/>
          <w:sz w:val="32"/>
          <w:szCs w:val="32"/>
        </w:rPr>
        <w:t>各级财政、农业农村等部门及其工作人员在资金分配、项目安排工作中，存在违反规定分配</w:t>
      </w:r>
      <w:r>
        <w:rPr>
          <w:rFonts w:ascii="仿宋" w:eastAsia="仿宋" w:hAnsi="仿宋" w:cs="Segoe UI"/>
          <w:color w:val="0F1115"/>
          <w:kern w:val="0"/>
          <w:sz w:val="32"/>
          <w:szCs w:val="32"/>
        </w:rPr>
        <w:t>资金、向不符合条件的单位（或项目）分配资金或擅自超出规定的范围或标准分配资金，弄虚作假或挤占、挪用、滞留资金，以及其他滥用职权、玩忽职守、徇私舞弊等违法违纪行为的，依法依规追究相应责任。</w:t>
      </w:r>
    </w:p>
    <w:p w:rsidR="00A904EE" w:rsidRDefault="00A904EE" w:rsidP="00A904EE">
      <w:pPr>
        <w:shd w:val="clear" w:color="auto" w:fill="FFFFFF"/>
        <w:spacing w:line="578" w:lineRule="exact"/>
        <w:ind w:firstLineChars="200" w:firstLine="640"/>
        <w:rPr>
          <w:rFonts w:ascii="仿宋" w:eastAsia="仿宋" w:hAnsi="仿宋" w:cs="Segoe UI"/>
          <w:color w:val="0F1115"/>
          <w:kern w:val="0"/>
          <w:sz w:val="32"/>
          <w:szCs w:val="32"/>
        </w:rPr>
      </w:pPr>
    </w:p>
    <w:p w:rsidR="00A904EE" w:rsidRDefault="00A904EE" w:rsidP="00A904EE">
      <w:pPr>
        <w:shd w:val="clear" w:color="auto" w:fill="FFFFFF"/>
        <w:spacing w:line="578" w:lineRule="exact"/>
        <w:jc w:val="center"/>
        <w:outlineLvl w:val="3"/>
        <w:rPr>
          <w:rFonts w:ascii="黑体" w:eastAsia="黑体" w:hAnsi="黑体" w:cs="Segoe UI"/>
          <w:bCs/>
          <w:color w:val="0F1115"/>
          <w:kern w:val="0"/>
          <w:sz w:val="32"/>
          <w:szCs w:val="32"/>
        </w:rPr>
      </w:pPr>
      <w:r>
        <w:rPr>
          <w:rFonts w:ascii="黑体" w:eastAsia="黑体" w:hAnsi="黑体" w:cs="Segoe UI"/>
          <w:bCs/>
          <w:color w:val="0F1115"/>
          <w:kern w:val="0"/>
          <w:sz w:val="32"/>
          <w:szCs w:val="32"/>
        </w:rPr>
        <w:t>第六章 附则</w:t>
      </w:r>
    </w:p>
    <w:p w:rsidR="00A904EE" w:rsidRDefault="00A904EE" w:rsidP="00A904EE">
      <w:pPr>
        <w:shd w:val="clear" w:color="auto" w:fill="FFFFFF"/>
        <w:spacing w:line="578" w:lineRule="exact"/>
        <w:ind w:firstLineChars="200" w:firstLine="643"/>
        <w:rPr>
          <w:rFonts w:ascii="仿宋" w:eastAsia="仿宋" w:hAnsi="仿宋" w:cs="Segoe UI"/>
          <w:color w:val="000000"/>
          <w:kern w:val="0"/>
          <w:sz w:val="32"/>
          <w:szCs w:val="32"/>
        </w:rPr>
      </w:pPr>
      <w:r>
        <w:rPr>
          <w:rFonts w:ascii="仿宋" w:eastAsia="仿宋" w:hAnsi="仿宋" w:cs="Segoe UI"/>
          <w:b/>
          <w:bCs/>
          <w:color w:val="000000"/>
          <w:kern w:val="0"/>
          <w:sz w:val="32"/>
          <w:szCs w:val="32"/>
        </w:rPr>
        <w:t xml:space="preserve">第二十一条 </w:t>
      </w:r>
      <w:r>
        <w:rPr>
          <w:rFonts w:ascii="仿宋" w:eastAsia="仿宋" w:hAnsi="仿宋" w:cs="Segoe UI"/>
          <w:color w:val="000000"/>
          <w:kern w:val="0"/>
          <w:sz w:val="32"/>
          <w:szCs w:val="32"/>
        </w:rPr>
        <w:t>各地（市）、县（区、市）财政部门可会同同级</w:t>
      </w:r>
      <w:r>
        <w:rPr>
          <w:rFonts w:ascii="仿宋" w:eastAsia="仿宋" w:hAnsi="仿宋" w:cs="Segoe UI"/>
          <w:color w:val="000000"/>
          <w:kern w:val="0"/>
          <w:sz w:val="32"/>
          <w:szCs w:val="32"/>
        </w:rPr>
        <w:lastRenderedPageBreak/>
        <w:t>农业农村部门依据本办法，结合本地工作需要，制定具体实施细则，或者以其他形式细化相关政策。</w:t>
      </w:r>
    </w:p>
    <w:p w:rsidR="00A904EE" w:rsidRDefault="00A904EE" w:rsidP="00A904EE">
      <w:pPr>
        <w:shd w:val="clear" w:color="auto" w:fill="FFFFFF"/>
        <w:spacing w:line="578" w:lineRule="exact"/>
        <w:ind w:firstLineChars="200" w:firstLine="643"/>
        <w:rPr>
          <w:rFonts w:ascii="宋体" w:hAnsi="宋体" w:cs="宋体"/>
          <w:kern w:val="0"/>
          <w:sz w:val="24"/>
          <w:szCs w:val="24"/>
        </w:rPr>
      </w:pPr>
      <w:r>
        <w:rPr>
          <w:rFonts w:ascii="仿宋" w:eastAsia="仿宋" w:hAnsi="仿宋" w:cs="Segoe UI"/>
          <w:b/>
          <w:bCs/>
          <w:color w:val="000000"/>
          <w:kern w:val="0"/>
          <w:sz w:val="32"/>
          <w:szCs w:val="32"/>
        </w:rPr>
        <w:t xml:space="preserve">第二十二条 </w:t>
      </w:r>
      <w:r>
        <w:rPr>
          <w:rFonts w:ascii="仿宋" w:eastAsia="仿宋" w:hAnsi="仿宋" w:cs="Segoe UI"/>
          <w:bCs/>
          <w:color w:val="000000"/>
          <w:kern w:val="0"/>
          <w:sz w:val="32"/>
          <w:szCs w:val="32"/>
        </w:rPr>
        <w:t>本办法自公布之日起施行。</w:t>
      </w:r>
      <w:r>
        <w:rPr>
          <w:rFonts w:ascii="仿宋" w:eastAsia="仿宋" w:hAnsi="仿宋" w:cs="Segoe UI"/>
          <w:color w:val="000000"/>
          <w:kern w:val="0"/>
          <w:sz w:val="32"/>
          <w:szCs w:val="32"/>
        </w:rPr>
        <w:t>《西藏自治区财政厅关于印发〈西藏自治区农村综合改革转移支付资金管理办法〉的通知》（藏财农〔2024〕27号）同时废止。</w:t>
      </w:r>
    </w:p>
    <w:bookmarkEnd w:id="0"/>
    <w:p w:rsidR="00A904EE" w:rsidRDefault="00A904EE" w:rsidP="00A904EE">
      <w:pPr>
        <w:spacing w:line="600" w:lineRule="exact"/>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bookmarkStart w:id="1" w:name="_GoBack"/>
      <w:bookmarkEnd w:id="1"/>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600" w:lineRule="exact"/>
        <w:ind w:firstLineChars="200" w:firstLine="640"/>
        <w:textAlignment w:val="center"/>
        <w:rPr>
          <w:rFonts w:ascii="仿宋" w:eastAsia="仿宋" w:hAnsi="仿宋"/>
          <w:sz w:val="32"/>
          <w:szCs w:val="32"/>
        </w:rPr>
      </w:pPr>
    </w:p>
    <w:p w:rsidR="00A904EE" w:rsidRDefault="00A904EE" w:rsidP="00A904EE">
      <w:pPr>
        <w:spacing w:line="320" w:lineRule="exact"/>
        <w:ind w:firstLineChars="200" w:firstLine="880"/>
        <w:jc w:val="right"/>
        <w:textAlignment w:val="center"/>
        <w:rPr>
          <w:rFonts w:ascii="方正小标宋简体" w:eastAsia="方正小标宋简体" w:hAnsi="宋体"/>
          <w:sz w:val="44"/>
          <w:szCs w:val="44"/>
        </w:rPr>
      </w:pPr>
    </w:p>
    <w:p w:rsidR="00A55737" w:rsidRDefault="00A55737"/>
    <w:sectPr w:rsidR="00A55737">
      <w:headerReference w:type="even" r:id="rId6"/>
      <w:headerReference w:type="default" r:id="rId7"/>
      <w:footerReference w:type="even" r:id="rId8"/>
      <w:footerReference w:type="default" r:id="rId9"/>
      <w:pgSz w:w="11906" w:h="16838"/>
      <w:pgMar w:top="1990" w:right="1503" w:bottom="1588" w:left="1503" w:header="851" w:footer="152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538" w:rsidRDefault="001E0538" w:rsidP="00A904EE">
      <w:r>
        <w:separator/>
      </w:r>
    </w:p>
  </w:endnote>
  <w:endnote w:type="continuationSeparator" w:id="0">
    <w:p w:rsidR="001E0538" w:rsidRDefault="001E0538" w:rsidP="00A9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黑体">
    <w:altName w:val="SimHei"/>
    <w:panose1 w:val="02010609060101010101"/>
    <w:charset w:val="86"/>
    <w:family w:val="modern"/>
    <w:pitch w:val="fixed"/>
    <w:sig w:usb0="800002BF" w:usb1="38CF7CFA" w:usb2="00000016" w:usb3="00000000" w:csb0="00040001" w:csb1="00000000"/>
  </w:font>
  <w:font w:name="DejaVu Math TeX Gyre">
    <w:altName w:val="Corbel"/>
    <w:charset w:val="00"/>
    <w:family w:val="auto"/>
    <w:pitch w:val="default"/>
    <w:sig w:usb0="00000000" w:usb1="00000000" w:usb2="02000000" w:usb3="00000000" w:csb0="60000193" w:csb1="0DD4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0CA" w:rsidRDefault="001E0538">
    <w:pPr>
      <w:pStyle w:val="a5"/>
      <w:tabs>
        <w:tab w:val="clear" w:pos="4153"/>
        <w:tab w:val="clear" w:pos="8306"/>
      </w:tabs>
      <w:spacing w:line="220" w:lineRule="exact"/>
      <w:ind w:leftChars="200" w:left="420" w:rightChars="200" w:right="420"/>
      <w:textAlignment w:val="center"/>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6A6FCB">
      <w:rPr>
        <w:rFonts w:ascii="宋体" w:hAnsi="宋体"/>
        <w:noProof/>
        <w:sz w:val="28"/>
        <w:szCs w:val="28"/>
        <w:lang w:val="zh-CN"/>
      </w:rPr>
      <w:t>4</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0CA" w:rsidRDefault="001E0538">
    <w:pPr>
      <w:pStyle w:val="a5"/>
      <w:wordWrap w:val="0"/>
      <w:spacing w:line="220" w:lineRule="exact"/>
      <w:ind w:leftChars="200" w:left="420" w:rightChars="200" w:right="420"/>
      <w:jc w:val="right"/>
      <w:textAlignment w:val="cente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F6170E" w:rsidRPr="00F6170E">
      <w:rPr>
        <w:rFonts w:ascii="宋体" w:hAnsi="宋体"/>
        <w:noProof/>
        <w:sz w:val="28"/>
        <w:szCs w:val="28"/>
        <w:lang w:val="zh-CN"/>
      </w:rPr>
      <w:t>8</w:t>
    </w:r>
    <w:r>
      <w:rPr>
        <w:rFonts w:ascii="宋体" w:hAnsi="宋体"/>
        <w:sz w:val="28"/>
        <w:szCs w:val="28"/>
      </w:rPr>
      <w:fldChar w:fldCharType="end"/>
    </w:r>
    <w:r>
      <w:rPr>
        <w:rFonts w:ascii="宋体" w:hAnsi="宋体"/>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538" w:rsidRDefault="001E0538" w:rsidP="00A904EE">
      <w:r>
        <w:separator/>
      </w:r>
    </w:p>
  </w:footnote>
  <w:footnote w:type="continuationSeparator" w:id="0">
    <w:p w:rsidR="001E0538" w:rsidRDefault="001E0538" w:rsidP="00A904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0CA" w:rsidRDefault="00F6170E">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0CA" w:rsidRDefault="00F6170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ADA"/>
    <w:rsid w:val="00022ADA"/>
    <w:rsid w:val="001E0538"/>
    <w:rsid w:val="00A55737"/>
    <w:rsid w:val="00A904EE"/>
    <w:rsid w:val="00F61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CA64C11-5106-427C-985A-14E2401C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4E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A904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qFormat/>
    <w:rsid w:val="00A904EE"/>
    <w:rPr>
      <w:sz w:val="18"/>
      <w:szCs w:val="18"/>
    </w:rPr>
  </w:style>
  <w:style w:type="paragraph" w:styleId="a5">
    <w:name w:val="footer"/>
    <w:basedOn w:val="a"/>
    <w:link w:val="a6"/>
    <w:unhideWhenUsed/>
    <w:qFormat/>
    <w:rsid w:val="00A904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qFormat/>
    <w:rsid w:val="00A904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农业农村处</dc:creator>
  <cp:keywords/>
  <dc:description/>
  <cp:lastModifiedBy>农业农村处</cp:lastModifiedBy>
  <cp:revision>3</cp:revision>
  <dcterms:created xsi:type="dcterms:W3CDTF">2026-07-08T03:34:00Z</dcterms:created>
  <dcterms:modified xsi:type="dcterms:W3CDTF">2026-07-09T02:12:00Z</dcterms:modified>
</cp:coreProperties>
</file>