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58C" w:rsidRDefault="0081558C">
      <w:pPr>
        <w:spacing w:line="560" w:lineRule="exact"/>
        <w:jc w:val="center"/>
        <w:rPr>
          <w:rFonts w:eastAsia="方正小标宋简体"/>
          <w:snapToGrid w:val="0"/>
          <w:kern w:val="0"/>
          <w:sz w:val="44"/>
          <w:szCs w:val="44"/>
        </w:rPr>
      </w:pPr>
      <w:bookmarkStart w:id="0" w:name="zhengwen"/>
    </w:p>
    <w:p w:rsidR="0081558C" w:rsidRDefault="0081558C">
      <w:pPr>
        <w:spacing w:line="560" w:lineRule="exact"/>
        <w:jc w:val="center"/>
        <w:rPr>
          <w:rFonts w:eastAsia="方正小标宋简体"/>
          <w:snapToGrid w:val="0"/>
          <w:kern w:val="0"/>
          <w:sz w:val="44"/>
          <w:szCs w:val="44"/>
        </w:rPr>
      </w:pPr>
    </w:p>
    <w:p w:rsidR="0081558C" w:rsidRPr="000C604C" w:rsidRDefault="00B96AA1">
      <w:pPr>
        <w:pStyle w:val="a6"/>
        <w:widowControl/>
        <w:spacing w:line="600" w:lineRule="exact"/>
        <w:rPr>
          <w:rFonts w:asciiTheme="majorEastAsia" w:eastAsiaTheme="majorEastAsia" w:hAnsiTheme="majorEastAsia" w:cstheme="majorEastAsia"/>
          <w:kern w:val="0"/>
          <w:sz w:val="44"/>
          <w:szCs w:val="44"/>
        </w:rPr>
      </w:pPr>
      <w:r>
        <w:rPr>
          <w:rFonts w:asciiTheme="majorEastAsia" w:eastAsiaTheme="majorEastAsia" w:hAnsiTheme="majorEastAsia" w:cstheme="majorEastAsia" w:hint="eastAsia"/>
          <w:kern w:val="0"/>
          <w:sz w:val="44"/>
          <w:szCs w:val="44"/>
        </w:rPr>
        <w:t>西藏自治区生态环境保护监督管理</w:t>
      </w:r>
      <w:r w:rsidR="00016B0E" w:rsidRPr="000C604C">
        <w:rPr>
          <w:rFonts w:asciiTheme="majorEastAsia" w:eastAsiaTheme="majorEastAsia" w:hAnsiTheme="majorEastAsia" w:cstheme="majorEastAsia" w:hint="eastAsia"/>
          <w:kern w:val="0"/>
          <w:sz w:val="44"/>
          <w:szCs w:val="44"/>
        </w:rPr>
        <w:t>办</w:t>
      </w:r>
      <w:r w:rsidR="00541127" w:rsidRPr="000C604C">
        <w:rPr>
          <w:rFonts w:asciiTheme="majorEastAsia" w:eastAsiaTheme="majorEastAsia" w:hAnsiTheme="majorEastAsia" w:cstheme="majorEastAsia" w:hint="eastAsia"/>
          <w:kern w:val="0"/>
          <w:sz w:val="44"/>
          <w:szCs w:val="44"/>
        </w:rPr>
        <w:t>法</w:t>
      </w:r>
    </w:p>
    <w:p w:rsidR="0081558C" w:rsidRPr="00A84D49" w:rsidRDefault="00541127">
      <w:pPr>
        <w:pStyle w:val="155"/>
        <w:adjustRightInd w:val="0"/>
        <w:snapToGrid w:val="0"/>
        <w:spacing w:before="0" w:line="600" w:lineRule="exact"/>
        <w:ind w:firstLineChars="0" w:firstLine="0"/>
        <w:rPr>
          <w:rFonts w:ascii="楷体_GB2312" w:hAnsi="Times New Roman" w:cs="Times New Roman"/>
          <w:kern w:val="0"/>
          <w:sz w:val="32"/>
        </w:rPr>
      </w:pPr>
      <w:r w:rsidRPr="00A84D49">
        <w:rPr>
          <w:rFonts w:ascii="楷体_GB2312" w:hAnsi="Times New Roman" w:cs="Times New Roman" w:hint="eastAsia"/>
          <w:kern w:val="0"/>
          <w:sz w:val="32"/>
        </w:rPr>
        <w:t>（</w:t>
      </w:r>
      <w:r w:rsidR="00B96AA1" w:rsidRPr="00A84D49">
        <w:rPr>
          <w:rFonts w:ascii="楷体_GB2312" w:hAnsi="Times New Roman" w:cs="Times New Roman" w:hint="eastAsia"/>
          <w:kern w:val="0"/>
          <w:sz w:val="32"/>
        </w:rPr>
        <w:t>2013</w:t>
      </w:r>
      <w:r w:rsidRPr="00A84D49">
        <w:rPr>
          <w:rFonts w:ascii="楷体_GB2312" w:hAnsi="Times New Roman" w:cs="Times New Roman" w:hint="eastAsia"/>
          <w:kern w:val="0"/>
          <w:sz w:val="32"/>
        </w:rPr>
        <w:t>年</w:t>
      </w:r>
      <w:r w:rsidR="00B96AA1" w:rsidRPr="00A84D49">
        <w:rPr>
          <w:rFonts w:ascii="楷体_GB2312" w:hAnsi="Times New Roman" w:cs="Times New Roman" w:hint="eastAsia"/>
          <w:kern w:val="0"/>
          <w:sz w:val="32"/>
        </w:rPr>
        <w:t>7</w:t>
      </w:r>
      <w:r w:rsidRPr="00A84D49">
        <w:rPr>
          <w:rFonts w:ascii="楷体_GB2312" w:hAnsi="Times New Roman" w:cs="Times New Roman" w:hint="eastAsia"/>
          <w:kern w:val="0"/>
          <w:sz w:val="32"/>
        </w:rPr>
        <w:t>月</w:t>
      </w:r>
      <w:r w:rsidR="00B96AA1" w:rsidRPr="00A84D49">
        <w:rPr>
          <w:rFonts w:ascii="楷体_GB2312" w:hAnsi="Times New Roman" w:cs="Times New Roman" w:hint="eastAsia"/>
          <w:kern w:val="0"/>
          <w:sz w:val="32"/>
        </w:rPr>
        <w:t>25</w:t>
      </w:r>
      <w:r w:rsidRPr="00A84D49">
        <w:rPr>
          <w:rFonts w:ascii="楷体_GB2312" w:hAnsi="Times New Roman" w:cs="Times New Roman" w:hint="eastAsia"/>
          <w:kern w:val="0"/>
          <w:sz w:val="32"/>
        </w:rPr>
        <w:t>日</w:t>
      </w:r>
      <w:r w:rsidR="001B2153" w:rsidRPr="00A84D49">
        <w:rPr>
          <w:rFonts w:ascii="楷体_GB2312" w:hAnsi="Times New Roman" w:cs="Times New Roman" w:hint="eastAsia"/>
          <w:kern w:val="0"/>
          <w:sz w:val="32"/>
        </w:rPr>
        <w:t>西藏自治区</w:t>
      </w:r>
      <w:r w:rsidRPr="00A84D49">
        <w:rPr>
          <w:rFonts w:ascii="楷体_GB2312" w:hAnsi="Times New Roman" w:cs="Times New Roman" w:hint="eastAsia"/>
          <w:kern w:val="0"/>
          <w:sz w:val="32"/>
        </w:rPr>
        <w:t>人民政府令第</w:t>
      </w:r>
      <w:r w:rsidR="00B96AA1" w:rsidRPr="00A84D49">
        <w:rPr>
          <w:rFonts w:ascii="楷体_GB2312" w:hAnsi="Times New Roman" w:cs="Times New Roman" w:hint="eastAsia"/>
          <w:kern w:val="0"/>
          <w:sz w:val="32"/>
        </w:rPr>
        <w:t>120</w:t>
      </w:r>
      <w:r w:rsidRPr="00A84D49">
        <w:rPr>
          <w:rFonts w:ascii="楷体_GB2312" w:hAnsi="Times New Roman" w:cs="Times New Roman" w:hint="eastAsia"/>
          <w:kern w:val="0"/>
          <w:sz w:val="32"/>
        </w:rPr>
        <w:t>号公布</w:t>
      </w:r>
      <w:r w:rsidR="001B2153" w:rsidRPr="00A84D49">
        <w:rPr>
          <w:rFonts w:ascii="楷体_GB2312" w:hAnsi="Times New Roman" w:cs="Times New Roman" w:hint="eastAsia"/>
          <w:kern w:val="0"/>
          <w:sz w:val="32"/>
        </w:rPr>
        <w:t xml:space="preserve">  </w:t>
      </w:r>
      <w:r w:rsidR="00B96AA1" w:rsidRPr="00A84D49">
        <w:rPr>
          <w:rFonts w:ascii="楷体_GB2312" w:hint="eastAsia"/>
          <w:shd w:val="clear" w:color="auto" w:fill="FFFFFF"/>
        </w:rPr>
        <w:t>自</w:t>
      </w:r>
      <w:r w:rsidR="00DA5C5F">
        <w:rPr>
          <w:rFonts w:ascii="楷体_GB2312" w:hint="eastAsia"/>
          <w:shd w:val="clear" w:color="auto" w:fill="FFFFFF"/>
        </w:rPr>
        <w:t>2013年</w:t>
      </w:r>
      <w:r w:rsidR="00A84D49" w:rsidRPr="00A84D49">
        <w:rPr>
          <w:rFonts w:ascii="楷体_GB2312" w:hAnsi="Times New Roman" w:cs="Times New Roman" w:hint="eastAsia"/>
          <w:kern w:val="0"/>
          <w:sz w:val="32"/>
        </w:rPr>
        <w:t>7月25</w:t>
      </w:r>
      <w:r w:rsidR="00B96AA1" w:rsidRPr="00A84D49">
        <w:rPr>
          <w:rFonts w:ascii="楷体_GB2312" w:hint="eastAsia"/>
          <w:shd w:val="clear" w:color="auto" w:fill="FFFFFF"/>
        </w:rPr>
        <w:t>日起施行</w:t>
      </w:r>
      <w:r w:rsidRPr="00A84D49">
        <w:rPr>
          <w:rFonts w:ascii="楷体_GB2312" w:hAnsi="Times New Roman" w:cs="Times New Roman" w:hint="eastAsia"/>
          <w:kern w:val="0"/>
          <w:sz w:val="32"/>
        </w:rPr>
        <w:t>）</w:t>
      </w:r>
    </w:p>
    <w:p w:rsidR="0081558C" w:rsidRPr="00A84D49" w:rsidRDefault="0081558C">
      <w:pPr>
        <w:spacing w:line="560" w:lineRule="exact"/>
        <w:ind w:firstLine="631"/>
        <w:rPr>
          <w:rFonts w:eastAsia="仿宋_GB2312"/>
          <w:snapToGrid w:val="0"/>
          <w:kern w:val="0"/>
          <w:sz w:val="32"/>
          <w:szCs w:val="32"/>
        </w:rPr>
      </w:pPr>
    </w:p>
    <w:p w:rsidR="0081558C" w:rsidRDefault="00541127" w:rsidP="00E079AC">
      <w:pPr>
        <w:spacing w:line="560" w:lineRule="exact"/>
        <w:jc w:val="center"/>
        <w:rPr>
          <w:rFonts w:eastAsia="黑体"/>
          <w:snapToGrid w:val="0"/>
          <w:kern w:val="0"/>
          <w:sz w:val="32"/>
          <w:szCs w:val="32"/>
        </w:rPr>
      </w:pPr>
      <w:r>
        <w:rPr>
          <w:rFonts w:eastAsia="黑体"/>
          <w:snapToGrid w:val="0"/>
          <w:kern w:val="0"/>
          <w:sz w:val="32"/>
          <w:szCs w:val="32"/>
        </w:rPr>
        <w:t>第一章</w:t>
      </w:r>
      <w:r>
        <w:rPr>
          <w:rFonts w:eastAsia="黑体"/>
          <w:snapToGrid w:val="0"/>
          <w:kern w:val="0"/>
          <w:sz w:val="32"/>
          <w:szCs w:val="32"/>
        </w:rPr>
        <w:t xml:space="preserve"> </w:t>
      </w:r>
      <w:r>
        <w:rPr>
          <w:rFonts w:eastAsia="黑体"/>
          <w:snapToGrid w:val="0"/>
          <w:kern w:val="0"/>
          <w:sz w:val="32"/>
          <w:szCs w:val="32"/>
        </w:rPr>
        <w:t>总</w:t>
      </w:r>
      <w:r>
        <w:rPr>
          <w:rFonts w:eastAsia="黑体" w:hint="eastAsia"/>
          <w:snapToGrid w:val="0"/>
          <w:kern w:val="0"/>
          <w:sz w:val="32"/>
          <w:szCs w:val="32"/>
        </w:rPr>
        <w:t xml:space="preserve">  </w:t>
      </w:r>
      <w:r>
        <w:rPr>
          <w:rFonts w:eastAsia="黑体"/>
          <w:snapToGrid w:val="0"/>
          <w:kern w:val="0"/>
          <w:sz w:val="32"/>
          <w:szCs w:val="32"/>
        </w:rPr>
        <w:t>则</w:t>
      </w:r>
      <w:bookmarkStart w:id="1" w:name="_GoBack"/>
      <w:bookmarkEnd w:id="1"/>
    </w:p>
    <w:p w:rsidR="00016B0E" w:rsidRDefault="00016B0E" w:rsidP="00016B0E">
      <w:pPr>
        <w:spacing w:line="640" w:lineRule="exact"/>
        <w:ind w:firstLineChars="200" w:firstLine="640"/>
        <w:rPr>
          <w:rFonts w:eastAsia="仿宋_GB2312"/>
          <w:snapToGrid w:val="0"/>
          <w:kern w:val="0"/>
          <w:sz w:val="32"/>
          <w:szCs w:val="32"/>
        </w:rPr>
      </w:pP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黑体" w:eastAsia="黑体" w:hAnsi="黑体" w:hint="eastAsia"/>
          <w:snapToGrid w:val="0"/>
          <w:kern w:val="0"/>
          <w:sz w:val="32"/>
          <w:szCs w:val="32"/>
        </w:rPr>
        <w:t>第一条</w:t>
      </w:r>
      <w:r w:rsidRPr="00B96AA1">
        <w:rPr>
          <w:rFonts w:ascii="仿宋_GB2312" w:eastAsia="仿宋_GB2312" w:hAnsi="黑体" w:hint="eastAsia"/>
          <w:snapToGrid w:val="0"/>
          <w:kern w:val="0"/>
          <w:sz w:val="32"/>
          <w:szCs w:val="32"/>
        </w:rPr>
        <w:t xml:space="preserve"> </w:t>
      </w:r>
      <w:r>
        <w:rPr>
          <w:rFonts w:ascii="仿宋_GB2312" w:eastAsia="仿宋_GB2312" w:hAnsi="黑体" w:hint="eastAsia"/>
          <w:snapToGrid w:val="0"/>
          <w:kern w:val="0"/>
          <w:sz w:val="32"/>
          <w:szCs w:val="32"/>
        </w:rPr>
        <w:t xml:space="preserve"> </w:t>
      </w:r>
      <w:r w:rsidRPr="00B96AA1">
        <w:rPr>
          <w:rFonts w:ascii="仿宋_GB2312" w:eastAsia="仿宋_GB2312" w:hAnsi="黑体" w:hint="eastAsia"/>
          <w:snapToGrid w:val="0"/>
          <w:kern w:val="0"/>
          <w:sz w:val="32"/>
          <w:szCs w:val="32"/>
        </w:rPr>
        <w:t>为了加强生态环境保护监督管理，保障生态环境持续良好，构筑国家重要的生态安全屏障，建设美丽西藏，实现可持续发展，根据《中华人民共和国环境保护法》和《西藏自治区环境保护条例》等有关法律法规，结合实际，制定本办法。</w:t>
      </w: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黑体" w:eastAsia="黑体" w:hAnsi="黑体" w:hint="eastAsia"/>
          <w:snapToGrid w:val="0"/>
          <w:kern w:val="0"/>
          <w:sz w:val="32"/>
          <w:szCs w:val="32"/>
        </w:rPr>
        <w:t>第二条</w:t>
      </w:r>
      <w:r>
        <w:rPr>
          <w:rFonts w:ascii="仿宋_GB2312" w:eastAsia="仿宋_GB2312" w:hAnsi="黑体" w:hint="eastAsia"/>
          <w:snapToGrid w:val="0"/>
          <w:kern w:val="0"/>
          <w:sz w:val="32"/>
          <w:szCs w:val="32"/>
        </w:rPr>
        <w:t xml:space="preserve">  </w:t>
      </w:r>
      <w:r w:rsidRPr="00B96AA1">
        <w:rPr>
          <w:rFonts w:ascii="仿宋_GB2312" w:eastAsia="仿宋_GB2312" w:hAnsi="黑体" w:hint="eastAsia"/>
          <w:snapToGrid w:val="0"/>
          <w:kern w:val="0"/>
          <w:sz w:val="32"/>
          <w:szCs w:val="32"/>
        </w:rPr>
        <w:t>自治区行政区域内从事资源开发、项目建设、兴办企业等与生态环境有关的活动及其监督管理适用本办法。</w:t>
      </w: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黑体" w:eastAsia="黑体" w:hAnsi="黑体" w:hint="eastAsia"/>
          <w:snapToGrid w:val="0"/>
          <w:kern w:val="0"/>
          <w:sz w:val="32"/>
          <w:szCs w:val="32"/>
        </w:rPr>
        <w:t>第三条</w:t>
      </w:r>
      <w:r>
        <w:rPr>
          <w:rFonts w:ascii="仿宋_GB2312" w:eastAsia="仿宋_GB2312" w:hAnsi="黑体" w:hint="eastAsia"/>
          <w:snapToGrid w:val="0"/>
          <w:kern w:val="0"/>
          <w:sz w:val="32"/>
          <w:szCs w:val="32"/>
        </w:rPr>
        <w:t xml:space="preserve">  </w:t>
      </w:r>
      <w:r w:rsidRPr="00B96AA1">
        <w:rPr>
          <w:rFonts w:ascii="仿宋_GB2312" w:eastAsia="仿宋_GB2312" w:hAnsi="黑体" w:hint="eastAsia"/>
          <w:snapToGrid w:val="0"/>
          <w:kern w:val="0"/>
          <w:sz w:val="32"/>
          <w:szCs w:val="32"/>
        </w:rPr>
        <w:t>坚持生态优先、保护优先，在保护中开发、开发中保护的方针，鼓励低能耗、高附加值的高新技术产业和特色优势产业，推动绿色发展、循环发展、低碳发展。严禁引进高污染、高排放、高能耗产业和项目，严禁引进淘汰落后的生产技术和设备，不应以牺牲生态环境为代价换取经济效益。</w:t>
      </w: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黑体" w:eastAsia="黑体" w:hAnsi="黑体" w:hint="eastAsia"/>
          <w:snapToGrid w:val="0"/>
          <w:kern w:val="0"/>
          <w:sz w:val="32"/>
          <w:szCs w:val="32"/>
        </w:rPr>
        <w:lastRenderedPageBreak/>
        <w:t>第四条</w:t>
      </w:r>
      <w:r>
        <w:rPr>
          <w:rFonts w:ascii="仿宋_GB2312" w:eastAsia="仿宋_GB2312" w:hAnsi="黑体" w:hint="eastAsia"/>
          <w:snapToGrid w:val="0"/>
          <w:kern w:val="0"/>
          <w:sz w:val="32"/>
          <w:szCs w:val="32"/>
        </w:rPr>
        <w:t xml:space="preserve">  </w:t>
      </w:r>
      <w:r w:rsidRPr="00B96AA1">
        <w:rPr>
          <w:rFonts w:ascii="仿宋_GB2312" w:eastAsia="仿宋_GB2312" w:hAnsi="黑体" w:hint="eastAsia"/>
          <w:snapToGrid w:val="0"/>
          <w:kern w:val="0"/>
          <w:sz w:val="32"/>
          <w:szCs w:val="32"/>
        </w:rPr>
        <w:t>资源开发、生产性项目建设应优先考虑生态环境承载力和保护水平，应符合国家产业政策，严格控制资源消耗量，严格环境准入和环境保护第一审批权。</w:t>
      </w: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黑体" w:eastAsia="黑体" w:hAnsi="黑体" w:hint="eastAsia"/>
          <w:snapToGrid w:val="0"/>
          <w:kern w:val="0"/>
          <w:sz w:val="32"/>
          <w:szCs w:val="32"/>
        </w:rPr>
        <w:t>第五条</w:t>
      </w:r>
      <w:r>
        <w:rPr>
          <w:rFonts w:ascii="仿宋_GB2312" w:eastAsia="仿宋_GB2312" w:hAnsi="黑体" w:hint="eastAsia"/>
          <w:snapToGrid w:val="0"/>
          <w:kern w:val="0"/>
          <w:sz w:val="32"/>
          <w:szCs w:val="32"/>
        </w:rPr>
        <w:t xml:space="preserve">  </w:t>
      </w:r>
      <w:r w:rsidRPr="00B96AA1">
        <w:rPr>
          <w:rFonts w:ascii="仿宋_GB2312" w:eastAsia="仿宋_GB2312" w:hAnsi="黑体" w:hint="eastAsia"/>
          <w:snapToGrid w:val="0"/>
          <w:kern w:val="0"/>
          <w:sz w:val="32"/>
          <w:szCs w:val="32"/>
        </w:rPr>
        <w:t>生态环境保护实行属地管理，谁主管、谁负责，谁开发、谁保护，谁污染、谁治理。</w:t>
      </w: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黑体" w:eastAsia="黑体" w:hAnsi="黑体" w:hint="eastAsia"/>
          <w:snapToGrid w:val="0"/>
          <w:kern w:val="0"/>
          <w:sz w:val="32"/>
          <w:szCs w:val="32"/>
        </w:rPr>
        <w:t>第六条</w:t>
      </w:r>
      <w:r>
        <w:rPr>
          <w:rFonts w:ascii="仿宋_GB2312" w:eastAsia="仿宋_GB2312" w:hAnsi="黑体" w:hint="eastAsia"/>
          <w:snapToGrid w:val="0"/>
          <w:kern w:val="0"/>
          <w:sz w:val="32"/>
          <w:szCs w:val="32"/>
        </w:rPr>
        <w:t xml:space="preserve">  </w:t>
      </w:r>
      <w:r w:rsidRPr="00B96AA1">
        <w:rPr>
          <w:rFonts w:ascii="仿宋_GB2312" w:eastAsia="仿宋_GB2312" w:hAnsi="黑体" w:hint="eastAsia"/>
          <w:snapToGrid w:val="0"/>
          <w:kern w:val="0"/>
          <w:sz w:val="32"/>
          <w:szCs w:val="32"/>
        </w:rPr>
        <w:t>各级人民政府负责本辖区的生态环境保护工作。各级人民政府主要负责人为本辖区生态环境保护工作的第一责任人，负全面领导责任；分管负责人负直接领导责任。</w:t>
      </w:r>
    </w:p>
    <w:p w:rsid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黑体" w:eastAsia="黑体" w:hAnsi="黑体" w:hint="eastAsia"/>
          <w:snapToGrid w:val="0"/>
          <w:kern w:val="0"/>
          <w:sz w:val="32"/>
          <w:szCs w:val="32"/>
        </w:rPr>
        <w:t>第七条</w:t>
      </w:r>
      <w:r>
        <w:rPr>
          <w:rFonts w:ascii="仿宋_GB2312" w:eastAsia="仿宋_GB2312" w:hAnsi="黑体" w:hint="eastAsia"/>
          <w:snapToGrid w:val="0"/>
          <w:kern w:val="0"/>
          <w:sz w:val="32"/>
          <w:szCs w:val="32"/>
        </w:rPr>
        <w:t xml:space="preserve">  </w:t>
      </w:r>
      <w:r w:rsidRPr="00B96AA1">
        <w:rPr>
          <w:rFonts w:ascii="仿宋_GB2312" w:eastAsia="仿宋_GB2312" w:hAnsi="黑体" w:hint="eastAsia"/>
          <w:snapToGrid w:val="0"/>
          <w:kern w:val="0"/>
          <w:sz w:val="32"/>
          <w:szCs w:val="32"/>
        </w:rPr>
        <w:t>环境保护主管部门负责规划和建设项目的环境影响评价审查审批，依法查处各类环境违法行为，统一发布环境监测数据和环境信息。发展改革、国土、交通、水利等部门依据各自职责对生态环境保护工作实施监督管理，部门主要负责人负主要领导责任。</w:t>
      </w:r>
    </w:p>
    <w:p w:rsidR="00B96AA1" w:rsidRPr="00B96AA1" w:rsidRDefault="00B96AA1" w:rsidP="00B96AA1">
      <w:pPr>
        <w:pStyle w:val="a0"/>
      </w:pPr>
    </w:p>
    <w:p w:rsidR="00B96AA1" w:rsidRDefault="00B96AA1" w:rsidP="00B96AA1">
      <w:pPr>
        <w:spacing w:line="640" w:lineRule="exact"/>
        <w:jc w:val="center"/>
        <w:rPr>
          <w:rFonts w:ascii="黑体" w:eastAsia="黑体" w:hAnsi="黑体"/>
          <w:snapToGrid w:val="0"/>
          <w:kern w:val="0"/>
          <w:sz w:val="32"/>
          <w:szCs w:val="32"/>
        </w:rPr>
      </w:pPr>
      <w:r w:rsidRPr="00B96AA1">
        <w:rPr>
          <w:rFonts w:ascii="黑体" w:eastAsia="黑体" w:hAnsi="黑体" w:hint="eastAsia"/>
          <w:snapToGrid w:val="0"/>
          <w:kern w:val="0"/>
          <w:sz w:val="32"/>
          <w:szCs w:val="32"/>
        </w:rPr>
        <w:t>第二章  保护与开发</w:t>
      </w:r>
    </w:p>
    <w:p w:rsidR="00B96AA1" w:rsidRPr="00B96AA1" w:rsidRDefault="00B96AA1" w:rsidP="00B96AA1">
      <w:pPr>
        <w:pStyle w:val="a0"/>
      </w:pP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黑体" w:eastAsia="黑体" w:hAnsi="黑体" w:hint="eastAsia"/>
          <w:snapToGrid w:val="0"/>
          <w:kern w:val="0"/>
          <w:sz w:val="32"/>
          <w:szCs w:val="32"/>
        </w:rPr>
        <w:t>第八条</w:t>
      </w:r>
      <w:r>
        <w:rPr>
          <w:rFonts w:ascii="仿宋_GB2312" w:eastAsia="仿宋_GB2312" w:hAnsi="黑体" w:hint="eastAsia"/>
          <w:snapToGrid w:val="0"/>
          <w:kern w:val="0"/>
          <w:sz w:val="32"/>
          <w:szCs w:val="32"/>
        </w:rPr>
        <w:t xml:space="preserve">  </w:t>
      </w:r>
      <w:r w:rsidRPr="00B96AA1">
        <w:rPr>
          <w:rFonts w:ascii="仿宋_GB2312" w:eastAsia="仿宋_GB2312" w:hAnsi="黑体" w:hint="eastAsia"/>
          <w:snapToGrid w:val="0"/>
          <w:kern w:val="0"/>
          <w:sz w:val="32"/>
          <w:szCs w:val="32"/>
        </w:rPr>
        <w:t>地（市）、县（市、区）人民政府应依据自治区生态建设与环境保护规划、主体功能区规划，编制本行政区域的生态环境功能区规划，划定生态红线，确保生态环境保护底线。</w:t>
      </w: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黑体" w:eastAsia="黑体" w:hAnsi="黑体" w:hint="eastAsia"/>
          <w:snapToGrid w:val="0"/>
          <w:kern w:val="0"/>
          <w:sz w:val="32"/>
          <w:szCs w:val="32"/>
        </w:rPr>
        <w:lastRenderedPageBreak/>
        <w:t>第九条</w:t>
      </w:r>
      <w:r>
        <w:rPr>
          <w:rFonts w:ascii="仿宋_GB2312" w:eastAsia="仿宋_GB2312" w:hAnsi="黑体" w:hint="eastAsia"/>
          <w:snapToGrid w:val="0"/>
          <w:kern w:val="0"/>
          <w:sz w:val="32"/>
          <w:szCs w:val="32"/>
        </w:rPr>
        <w:t xml:space="preserve">  </w:t>
      </w:r>
      <w:r w:rsidRPr="00B96AA1">
        <w:rPr>
          <w:rFonts w:ascii="仿宋_GB2312" w:eastAsia="仿宋_GB2312" w:hAnsi="黑体" w:hint="eastAsia"/>
          <w:snapToGrid w:val="0"/>
          <w:kern w:val="0"/>
          <w:sz w:val="32"/>
          <w:szCs w:val="32"/>
        </w:rPr>
        <w:t>编制城乡总体规划、土地利用总体规划、水土保持规划应当与生态环境功能区规划、主体功能区规划相衔接，并依法进行环境影响评价，有效调控城乡建设与环境保护。矿产、水电、旅游等资源开发和交通等基础设施建设的有关专项规划和建设项目，应依法进行环境影响评价。未经环境保护主管部门审查批准，项目审批机关不应审批、核准，建设单位不得开工建设，金融机构不得办理贷款。</w:t>
      </w: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黑体" w:eastAsia="黑体" w:hAnsi="黑体" w:hint="eastAsia"/>
          <w:snapToGrid w:val="0"/>
          <w:kern w:val="0"/>
          <w:sz w:val="32"/>
          <w:szCs w:val="32"/>
        </w:rPr>
        <w:t>第十条</w:t>
      </w:r>
      <w:r>
        <w:rPr>
          <w:rFonts w:ascii="仿宋_GB2312" w:eastAsia="仿宋_GB2312" w:hAnsi="黑体" w:hint="eastAsia"/>
          <w:snapToGrid w:val="0"/>
          <w:kern w:val="0"/>
          <w:sz w:val="32"/>
          <w:szCs w:val="32"/>
        </w:rPr>
        <w:t xml:space="preserve">  </w:t>
      </w:r>
      <w:r w:rsidRPr="00B96AA1">
        <w:rPr>
          <w:rFonts w:ascii="仿宋_GB2312" w:eastAsia="仿宋_GB2312" w:hAnsi="黑体" w:hint="eastAsia"/>
          <w:snapToGrid w:val="0"/>
          <w:kern w:val="0"/>
          <w:sz w:val="32"/>
          <w:szCs w:val="32"/>
        </w:rPr>
        <w:t>矿产、水电资源开发和交通、通信、输变电线路等重大基础设施建设应充分考虑环境影响和景观影响，科学设计、优化选址选线，严格按照环境影响评价要求，设置取料场、弃渣场、施工便道和生活营地等临时设施，及时进行生态恢复，严禁随意开挖、随地弃渣，严禁向河道、湖泊、水库等水体倾倒废弃物，做好预防和减少水土流失工作。</w:t>
      </w: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黑体" w:eastAsia="黑体" w:hAnsi="黑体" w:hint="eastAsia"/>
          <w:snapToGrid w:val="0"/>
          <w:kern w:val="0"/>
          <w:sz w:val="32"/>
          <w:szCs w:val="32"/>
        </w:rPr>
        <w:t>第十一条</w:t>
      </w:r>
      <w:r>
        <w:rPr>
          <w:rFonts w:ascii="仿宋_GB2312" w:eastAsia="仿宋_GB2312" w:hAnsi="黑体" w:hint="eastAsia"/>
          <w:snapToGrid w:val="0"/>
          <w:kern w:val="0"/>
          <w:sz w:val="32"/>
          <w:szCs w:val="32"/>
        </w:rPr>
        <w:t xml:space="preserve">  </w:t>
      </w:r>
      <w:r w:rsidRPr="00B96AA1">
        <w:rPr>
          <w:rFonts w:ascii="仿宋_GB2312" w:eastAsia="仿宋_GB2312" w:hAnsi="黑体" w:hint="eastAsia"/>
          <w:snapToGrid w:val="0"/>
          <w:kern w:val="0"/>
          <w:sz w:val="32"/>
          <w:szCs w:val="32"/>
        </w:rPr>
        <w:t>对矿产、水电、旅游等资源开发和交通等重大基础设施建设实施环境监理制度，实施项目建设全过程环境监管。各类开发建设项目应进行环境保护竣工验收，未通过验收，不得投入生产运营。</w:t>
      </w: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黑体" w:eastAsia="黑体" w:hAnsi="黑体" w:hint="eastAsia"/>
          <w:snapToGrid w:val="0"/>
          <w:kern w:val="0"/>
          <w:sz w:val="32"/>
          <w:szCs w:val="32"/>
        </w:rPr>
        <w:t>第十二条</w:t>
      </w:r>
      <w:r>
        <w:rPr>
          <w:rFonts w:ascii="仿宋_GB2312" w:eastAsia="仿宋_GB2312" w:hAnsi="黑体" w:hint="eastAsia"/>
          <w:snapToGrid w:val="0"/>
          <w:kern w:val="0"/>
          <w:sz w:val="32"/>
          <w:szCs w:val="32"/>
        </w:rPr>
        <w:t xml:space="preserve">  </w:t>
      </w:r>
      <w:r w:rsidRPr="00B96AA1">
        <w:rPr>
          <w:rFonts w:ascii="仿宋_GB2312" w:eastAsia="仿宋_GB2312" w:hAnsi="黑体" w:hint="eastAsia"/>
          <w:snapToGrid w:val="0"/>
          <w:kern w:val="0"/>
          <w:sz w:val="32"/>
          <w:szCs w:val="32"/>
        </w:rPr>
        <w:t>矿产资源开发实施生态环境治理恢复保证金制度，开发建设单位应缴纳生态环境治理恢复保证金。</w:t>
      </w: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黑体" w:eastAsia="黑体" w:hAnsi="黑体" w:hint="eastAsia"/>
          <w:snapToGrid w:val="0"/>
          <w:kern w:val="0"/>
          <w:sz w:val="32"/>
          <w:szCs w:val="32"/>
        </w:rPr>
        <w:lastRenderedPageBreak/>
        <w:t>第十三条</w:t>
      </w:r>
      <w:r>
        <w:rPr>
          <w:rFonts w:ascii="仿宋_GB2312" w:eastAsia="仿宋_GB2312" w:hAnsi="黑体" w:hint="eastAsia"/>
          <w:snapToGrid w:val="0"/>
          <w:kern w:val="0"/>
          <w:sz w:val="32"/>
          <w:szCs w:val="32"/>
        </w:rPr>
        <w:t xml:space="preserve">  </w:t>
      </w:r>
      <w:r w:rsidRPr="00B96AA1">
        <w:rPr>
          <w:rFonts w:ascii="仿宋_GB2312" w:eastAsia="仿宋_GB2312" w:hAnsi="黑体" w:hint="eastAsia"/>
          <w:snapToGrid w:val="0"/>
          <w:kern w:val="0"/>
          <w:sz w:val="32"/>
          <w:szCs w:val="32"/>
        </w:rPr>
        <w:t>禁止在自治区级以上自然保护区、森林公园、地质公园、湿地公园、风景名胜区和饮用水水源保护区、崩塌滑坡危险区、山洪泥石流易发区、世界自然文化遗产及国家一级公益林从事采矿、勘探、采砂、采石等活动。除特殊情况并经依法批准外，不得在文物保护单位的保护范围内从事与保护无关的建设工程或进行爆破、钻探、挖掘等作业。严格限制在大江大河源头、湖泊、湿地等重要生态功能保护区和城镇规划区内，从事采矿、勘探、采砂、采石等活动。除经依法批准的开采区域外，严格限制在国（省）道和铁路两侧可视范围内采矿、勘探、采砂、采石等活动。</w:t>
      </w: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黑体" w:eastAsia="黑体" w:hAnsi="黑体" w:hint="eastAsia"/>
          <w:snapToGrid w:val="0"/>
          <w:kern w:val="0"/>
          <w:sz w:val="32"/>
          <w:szCs w:val="32"/>
        </w:rPr>
        <w:t>第十四条</w:t>
      </w:r>
      <w:r>
        <w:rPr>
          <w:rFonts w:ascii="仿宋_GB2312" w:eastAsia="仿宋_GB2312" w:hAnsi="黑体" w:hint="eastAsia"/>
          <w:snapToGrid w:val="0"/>
          <w:kern w:val="0"/>
          <w:sz w:val="32"/>
          <w:szCs w:val="32"/>
        </w:rPr>
        <w:t xml:space="preserve">  </w:t>
      </w:r>
      <w:r w:rsidRPr="00B96AA1">
        <w:rPr>
          <w:rFonts w:ascii="仿宋_GB2312" w:eastAsia="仿宋_GB2312" w:hAnsi="黑体" w:hint="eastAsia"/>
          <w:snapToGrid w:val="0"/>
          <w:kern w:val="0"/>
          <w:sz w:val="32"/>
          <w:szCs w:val="32"/>
        </w:rPr>
        <w:t>严格矿产资源开发准入。矿产勘查、开采企业必须符合国家和自治区规定的条件。</w:t>
      </w: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黑体" w:eastAsia="黑体" w:hAnsi="黑体" w:hint="eastAsia"/>
          <w:snapToGrid w:val="0"/>
          <w:kern w:val="0"/>
          <w:sz w:val="32"/>
          <w:szCs w:val="32"/>
        </w:rPr>
        <w:t>第十五条</w:t>
      </w:r>
      <w:r>
        <w:rPr>
          <w:rFonts w:ascii="仿宋_GB2312" w:eastAsia="仿宋_GB2312" w:hAnsi="黑体" w:hint="eastAsia"/>
          <w:snapToGrid w:val="0"/>
          <w:kern w:val="0"/>
          <w:sz w:val="32"/>
          <w:szCs w:val="32"/>
        </w:rPr>
        <w:t xml:space="preserve">  </w:t>
      </w:r>
      <w:r w:rsidRPr="00B96AA1">
        <w:rPr>
          <w:rFonts w:ascii="仿宋_GB2312" w:eastAsia="仿宋_GB2312" w:hAnsi="黑体" w:hint="eastAsia"/>
          <w:snapToGrid w:val="0"/>
          <w:kern w:val="0"/>
          <w:sz w:val="32"/>
          <w:szCs w:val="32"/>
        </w:rPr>
        <w:t>水电开发遵循统筹兼顾、确保底线的原则，有序开发自治区行政区域内主要江河干流，支流开发服从于干流开发，确保流域生态流量。流域综合规划、水电水利专项规划要做到有机衔接，水电水利开发专项规划未经审查批准，不得实施开发项目。</w:t>
      </w: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黑体" w:eastAsia="黑体" w:hAnsi="黑体" w:hint="eastAsia"/>
          <w:snapToGrid w:val="0"/>
          <w:kern w:val="0"/>
          <w:sz w:val="32"/>
          <w:szCs w:val="32"/>
        </w:rPr>
        <w:t>第十六条</w:t>
      </w:r>
      <w:r>
        <w:rPr>
          <w:rFonts w:ascii="仿宋_GB2312" w:eastAsia="仿宋_GB2312" w:hAnsi="黑体" w:hint="eastAsia"/>
          <w:snapToGrid w:val="0"/>
          <w:kern w:val="0"/>
          <w:sz w:val="32"/>
          <w:szCs w:val="32"/>
        </w:rPr>
        <w:t xml:space="preserve">  </w:t>
      </w:r>
      <w:r w:rsidRPr="00B96AA1">
        <w:rPr>
          <w:rFonts w:ascii="仿宋_GB2312" w:eastAsia="仿宋_GB2312" w:hAnsi="黑体" w:hint="eastAsia"/>
          <w:snapToGrid w:val="0"/>
          <w:kern w:val="0"/>
          <w:sz w:val="32"/>
          <w:szCs w:val="32"/>
        </w:rPr>
        <w:t>旅游景区、景点和设施建设应当依据当地生态环境承载能力，科学规划，合理布局。严禁无序开发，严格控制湖</w:t>
      </w:r>
      <w:r w:rsidRPr="00B96AA1">
        <w:rPr>
          <w:rFonts w:ascii="仿宋_GB2312" w:eastAsia="仿宋_GB2312" w:hAnsi="黑体" w:hint="eastAsia"/>
          <w:snapToGrid w:val="0"/>
          <w:kern w:val="0"/>
          <w:sz w:val="32"/>
          <w:szCs w:val="32"/>
        </w:rPr>
        <w:lastRenderedPageBreak/>
        <w:t>泊水上旅游项目。旅游景区应当加快建设垃圾收集处置、污水处理和公共卫生设施。</w:t>
      </w: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黑体" w:eastAsia="黑体" w:hAnsi="黑体" w:hint="eastAsia"/>
          <w:snapToGrid w:val="0"/>
          <w:kern w:val="0"/>
          <w:sz w:val="32"/>
          <w:szCs w:val="32"/>
        </w:rPr>
        <w:t>第十七条</w:t>
      </w:r>
      <w:r>
        <w:rPr>
          <w:rFonts w:ascii="仿宋_GB2312" w:eastAsia="仿宋_GB2312" w:hAnsi="黑体" w:hint="eastAsia"/>
          <w:snapToGrid w:val="0"/>
          <w:kern w:val="0"/>
          <w:sz w:val="32"/>
          <w:szCs w:val="32"/>
        </w:rPr>
        <w:t xml:space="preserve">  </w:t>
      </w:r>
      <w:r w:rsidRPr="00B96AA1">
        <w:rPr>
          <w:rFonts w:ascii="仿宋_GB2312" w:eastAsia="仿宋_GB2312" w:hAnsi="黑体" w:hint="eastAsia"/>
          <w:snapToGrid w:val="0"/>
          <w:kern w:val="0"/>
          <w:sz w:val="32"/>
          <w:szCs w:val="32"/>
        </w:rPr>
        <w:t>禁止生产、销售、使用国家明令禁止的农药、灭虫灭鼠药品，防止农业面源污染和土壤污染。</w:t>
      </w: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黑体" w:eastAsia="黑体" w:hAnsi="黑体" w:hint="eastAsia"/>
          <w:snapToGrid w:val="0"/>
          <w:kern w:val="0"/>
          <w:sz w:val="32"/>
          <w:szCs w:val="32"/>
        </w:rPr>
        <w:t>第十八条</w:t>
      </w:r>
      <w:r>
        <w:rPr>
          <w:rFonts w:ascii="仿宋_GB2312" w:eastAsia="仿宋_GB2312" w:hAnsi="黑体" w:hint="eastAsia"/>
          <w:snapToGrid w:val="0"/>
          <w:kern w:val="0"/>
          <w:sz w:val="32"/>
          <w:szCs w:val="32"/>
        </w:rPr>
        <w:t xml:space="preserve">  </w:t>
      </w:r>
      <w:r w:rsidRPr="00B96AA1">
        <w:rPr>
          <w:rFonts w:ascii="仿宋_GB2312" w:eastAsia="仿宋_GB2312" w:hAnsi="黑体" w:hint="eastAsia"/>
          <w:snapToGrid w:val="0"/>
          <w:kern w:val="0"/>
          <w:sz w:val="32"/>
          <w:szCs w:val="32"/>
        </w:rPr>
        <w:t>禁止销售和使用尾气排放超过规定标准的机动车。车辆管理部门在办理车辆牌照和年检时，应严格执行机动车尾气排放标准，尾气排放超标的机动车辆一律不得上牌或办理年检手续。</w:t>
      </w: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黑体" w:eastAsia="黑体" w:hAnsi="黑体" w:hint="eastAsia"/>
          <w:snapToGrid w:val="0"/>
          <w:kern w:val="0"/>
          <w:sz w:val="32"/>
          <w:szCs w:val="32"/>
        </w:rPr>
        <w:t>第十九条</w:t>
      </w:r>
      <w:r>
        <w:rPr>
          <w:rFonts w:ascii="仿宋_GB2312" w:eastAsia="仿宋_GB2312" w:hAnsi="黑体" w:hint="eastAsia"/>
          <w:snapToGrid w:val="0"/>
          <w:kern w:val="0"/>
          <w:sz w:val="32"/>
          <w:szCs w:val="32"/>
        </w:rPr>
        <w:t xml:space="preserve">  </w:t>
      </w:r>
      <w:r w:rsidRPr="00B96AA1">
        <w:rPr>
          <w:rFonts w:ascii="仿宋_GB2312" w:eastAsia="仿宋_GB2312" w:hAnsi="黑体" w:hint="eastAsia"/>
          <w:snapToGrid w:val="0"/>
          <w:kern w:val="0"/>
          <w:sz w:val="32"/>
          <w:szCs w:val="32"/>
        </w:rPr>
        <w:t>工业企业污染防治设施必须与主体工程同时设计、同时施工、同时投入使用，确保污染物稳定达标排放。工业园区、经济技术开发区、产业园区应优先建设综合污水处理、固体废物集中处理等环保基础设施并投入使用。</w:t>
      </w: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黑体" w:eastAsia="黑体" w:hAnsi="黑体" w:hint="eastAsia"/>
          <w:snapToGrid w:val="0"/>
          <w:kern w:val="0"/>
          <w:sz w:val="32"/>
          <w:szCs w:val="32"/>
        </w:rPr>
        <w:t>第二十条</w:t>
      </w:r>
      <w:r>
        <w:rPr>
          <w:rFonts w:ascii="仿宋_GB2312" w:eastAsia="仿宋_GB2312" w:hAnsi="黑体" w:hint="eastAsia"/>
          <w:snapToGrid w:val="0"/>
          <w:kern w:val="0"/>
          <w:sz w:val="32"/>
          <w:szCs w:val="32"/>
        </w:rPr>
        <w:t xml:space="preserve">  </w:t>
      </w:r>
      <w:r w:rsidRPr="00B96AA1">
        <w:rPr>
          <w:rFonts w:ascii="仿宋_GB2312" w:eastAsia="仿宋_GB2312" w:hAnsi="黑体" w:hint="eastAsia"/>
          <w:snapToGrid w:val="0"/>
          <w:kern w:val="0"/>
          <w:sz w:val="32"/>
          <w:szCs w:val="32"/>
        </w:rPr>
        <w:t>城镇生活污水和垃圾应进行无害化处理。地（市）、县（市、区）所在地城镇应建设和完善生活垃圾处置设施，并严格按照技术规范要求及时进行安全填埋和无害化处置。各级人民政府负责城镇生活垃圾收集、转运和填埋场运营管理，实行城镇垃圾处置、污水处理有偿服务，鼓励对城镇生活垃圾进行回收再利用。医疗垃圾、过期农药等危险废物应在指定的处置场所集中处置，任何单位和个人不得自行处置，不得与生活垃圾</w:t>
      </w:r>
      <w:r w:rsidRPr="00B96AA1">
        <w:rPr>
          <w:rFonts w:ascii="仿宋_GB2312" w:eastAsia="仿宋_GB2312" w:hAnsi="黑体" w:hint="eastAsia"/>
          <w:snapToGrid w:val="0"/>
          <w:kern w:val="0"/>
          <w:sz w:val="32"/>
          <w:szCs w:val="32"/>
        </w:rPr>
        <w:lastRenderedPageBreak/>
        <w:t>混合处理。</w:t>
      </w: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黑体" w:eastAsia="黑体" w:hAnsi="黑体" w:hint="eastAsia"/>
          <w:snapToGrid w:val="0"/>
          <w:kern w:val="0"/>
          <w:sz w:val="32"/>
          <w:szCs w:val="32"/>
        </w:rPr>
        <w:t>第二十一条</w:t>
      </w:r>
      <w:r>
        <w:rPr>
          <w:rFonts w:ascii="仿宋_GB2312" w:eastAsia="仿宋_GB2312" w:hAnsi="黑体" w:hint="eastAsia"/>
          <w:snapToGrid w:val="0"/>
          <w:kern w:val="0"/>
          <w:sz w:val="32"/>
          <w:szCs w:val="32"/>
        </w:rPr>
        <w:t xml:space="preserve">  </w:t>
      </w:r>
      <w:r w:rsidRPr="00B96AA1">
        <w:rPr>
          <w:rFonts w:ascii="仿宋_GB2312" w:eastAsia="仿宋_GB2312" w:hAnsi="黑体" w:hint="eastAsia"/>
          <w:snapToGrid w:val="0"/>
          <w:kern w:val="0"/>
          <w:sz w:val="32"/>
          <w:szCs w:val="32"/>
        </w:rPr>
        <w:t>禁止任何单位和个人私设暗管向水体排放含有毒污染物的废水；禁止利用渗井、渗坑、裂隙和溶洞等排放生产废水；禁止随意弃置、直接填埋有毒有害的废渣和其他废弃物。</w:t>
      </w:r>
    </w:p>
    <w:p w:rsid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黑体" w:eastAsia="黑体" w:hAnsi="黑体" w:hint="eastAsia"/>
          <w:snapToGrid w:val="0"/>
          <w:kern w:val="0"/>
          <w:sz w:val="32"/>
          <w:szCs w:val="32"/>
        </w:rPr>
        <w:t>第二十二条</w:t>
      </w:r>
      <w:r>
        <w:rPr>
          <w:rFonts w:ascii="仿宋_GB2312" w:eastAsia="仿宋_GB2312" w:hAnsi="黑体" w:hint="eastAsia"/>
          <w:snapToGrid w:val="0"/>
          <w:kern w:val="0"/>
          <w:sz w:val="32"/>
          <w:szCs w:val="32"/>
        </w:rPr>
        <w:t xml:space="preserve">  </w:t>
      </w:r>
      <w:r w:rsidRPr="00B96AA1">
        <w:rPr>
          <w:rFonts w:ascii="仿宋_GB2312" w:eastAsia="仿宋_GB2312" w:hAnsi="黑体" w:hint="eastAsia"/>
          <w:snapToGrid w:val="0"/>
          <w:kern w:val="0"/>
          <w:sz w:val="32"/>
          <w:szCs w:val="32"/>
        </w:rPr>
        <w:t>建立健全自治区、地、县三级环境保护监测监察机构，所需经费纳入各级财政预算。建立环境监控网络，科学监测监察环境质量。</w:t>
      </w:r>
    </w:p>
    <w:p w:rsidR="00B96AA1" w:rsidRPr="00B96AA1" w:rsidRDefault="00B96AA1" w:rsidP="00B96AA1">
      <w:pPr>
        <w:pStyle w:val="a0"/>
      </w:pPr>
    </w:p>
    <w:p w:rsidR="00B96AA1" w:rsidRDefault="00B96AA1" w:rsidP="00B96AA1">
      <w:pPr>
        <w:spacing w:line="640" w:lineRule="exact"/>
        <w:jc w:val="center"/>
        <w:rPr>
          <w:rFonts w:ascii="黑体" w:eastAsia="黑体" w:hAnsi="黑体"/>
          <w:snapToGrid w:val="0"/>
          <w:kern w:val="0"/>
          <w:sz w:val="32"/>
          <w:szCs w:val="32"/>
        </w:rPr>
      </w:pPr>
      <w:r w:rsidRPr="00B96AA1">
        <w:rPr>
          <w:rFonts w:ascii="黑体" w:eastAsia="黑体" w:hAnsi="黑体" w:hint="eastAsia"/>
          <w:snapToGrid w:val="0"/>
          <w:kern w:val="0"/>
          <w:sz w:val="32"/>
          <w:szCs w:val="32"/>
        </w:rPr>
        <w:t>第三章  奖励与处罚</w:t>
      </w:r>
    </w:p>
    <w:p w:rsidR="00B96AA1" w:rsidRPr="00B96AA1" w:rsidRDefault="00B96AA1" w:rsidP="00B96AA1">
      <w:pPr>
        <w:pStyle w:val="a0"/>
      </w:pP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黑体" w:eastAsia="黑体" w:hAnsi="黑体" w:hint="eastAsia"/>
          <w:snapToGrid w:val="0"/>
          <w:kern w:val="0"/>
          <w:sz w:val="32"/>
          <w:szCs w:val="32"/>
        </w:rPr>
        <w:t>第二十三条</w:t>
      </w:r>
      <w:r>
        <w:rPr>
          <w:rFonts w:ascii="仿宋_GB2312" w:eastAsia="仿宋_GB2312" w:hAnsi="黑体" w:hint="eastAsia"/>
          <w:snapToGrid w:val="0"/>
          <w:kern w:val="0"/>
          <w:sz w:val="32"/>
          <w:szCs w:val="32"/>
        </w:rPr>
        <w:t xml:space="preserve">  </w:t>
      </w:r>
      <w:r w:rsidRPr="00B96AA1">
        <w:rPr>
          <w:rFonts w:ascii="仿宋_GB2312" w:eastAsia="仿宋_GB2312" w:hAnsi="黑体" w:hint="eastAsia"/>
          <w:snapToGrid w:val="0"/>
          <w:kern w:val="0"/>
          <w:sz w:val="32"/>
          <w:szCs w:val="32"/>
        </w:rPr>
        <w:t>各级人民政府及其部门应当将生态环境保护纳入工作目标责任制和领导干部年度政绩考核的重要内容。对生态环境保护工作不重视、责任不落实、措施不到位的，实行约谈和通报。对不落实生态环境保护整改措施的部门和单位，实行区域和行业限批。</w:t>
      </w: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黑体" w:eastAsia="黑体" w:hAnsi="黑体" w:hint="eastAsia"/>
          <w:snapToGrid w:val="0"/>
          <w:kern w:val="0"/>
          <w:sz w:val="32"/>
          <w:szCs w:val="32"/>
        </w:rPr>
        <w:t>第二十四条</w:t>
      </w:r>
      <w:r>
        <w:rPr>
          <w:rFonts w:ascii="仿宋_GB2312" w:eastAsia="仿宋_GB2312" w:hAnsi="黑体" w:hint="eastAsia"/>
          <w:snapToGrid w:val="0"/>
          <w:kern w:val="0"/>
          <w:sz w:val="32"/>
          <w:szCs w:val="32"/>
        </w:rPr>
        <w:t xml:space="preserve">  </w:t>
      </w:r>
      <w:r w:rsidRPr="00B96AA1">
        <w:rPr>
          <w:rFonts w:ascii="仿宋_GB2312" w:eastAsia="仿宋_GB2312" w:hAnsi="黑体" w:hint="eastAsia"/>
          <w:snapToGrid w:val="0"/>
          <w:kern w:val="0"/>
          <w:sz w:val="32"/>
          <w:szCs w:val="32"/>
        </w:rPr>
        <w:t>自治区人民政府对生态环境保护工作成绩显著的县（市、区）给予奖励，对生态环境保护工作不力，出现生态破坏、环境污染事故的，视情扣减生态功能区转移支付资金。</w:t>
      </w: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黑体" w:eastAsia="黑体" w:hAnsi="黑体" w:hint="eastAsia"/>
          <w:snapToGrid w:val="0"/>
          <w:kern w:val="0"/>
          <w:sz w:val="32"/>
          <w:szCs w:val="32"/>
        </w:rPr>
        <w:t>第二十五条</w:t>
      </w:r>
      <w:r>
        <w:rPr>
          <w:rFonts w:ascii="仿宋_GB2312" w:eastAsia="仿宋_GB2312" w:hAnsi="黑体" w:hint="eastAsia"/>
          <w:snapToGrid w:val="0"/>
          <w:kern w:val="0"/>
          <w:sz w:val="32"/>
          <w:szCs w:val="32"/>
        </w:rPr>
        <w:t xml:space="preserve">  </w:t>
      </w:r>
      <w:r w:rsidRPr="00B96AA1">
        <w:rPr>
          <w:rFonts w:ascii="仿宋_GB2312" w:eastAsia="仿宋_GB2312" w:hAnsi="黑体" w:hint="eastAsia"/>
          <w:snapToGrid w:val="0"/>
          <w:kern w:val="0"/>
          <w:sz w:val="32"/>
          <w:szCs w:val="32"/>
        </w:rPr>
        <w:t>违反本办法规定有下列行为之一的，由上一级</w:t>
      </w:r>
      <w:r w:rsidRPr="00B96AA1">
        <w:rPr>
          <w:rFonts w:ascii="仿宋_GB2312" w:eastAsia="仿宋_GB2312" w:hAnsi="黑体" w:hint="eastAsia"/>
          <w:snapToGrid w:val="0"/>
          <w:kern w:val="0"/>
          <w:sz w:val="32"/>
          <w:szCs w:val="32"/>
        </w:rPr>
        <w:lastRenderedPageBreak/>
        <w:t>政府和有关部门按照管理权限，对主要负责人和直接责任人员依法给予处分；涉嫌犯罪的，依法移送司法机关处理。</w:t>
      </w: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仿宋_GB2312" w:eastAsia="仿宋_GB2312" w:hAnsi="黑体" w:hint="eastAsia"/>
          <w:snapToGrid w:val="0"/>
          <w:kern w:val="0"/>
          <w:sz w:val="32"/>
          <w:szCs w:val="32"/>
        </w:rPr>
        <w:t>（一）因决策失误，造成重大环境污染和生态破坏的；</w:t>
      </w: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仿宋_GB2312" w:eastAsia="仿宋_GB2312" w:hAnsi="黑体" w:hint="eastAsia"/>
          <w:snapToGrid w:val="0"/>
          <w:kern w:val="0"/>
          <w:sz w:val="32"/>
          <w:szCs w:val="32"/>
        </w:rPr>
        <w:t>（二）不履行环境保护职责，或者履行职责不力，致使环境质量下降，重大环境问题长期得不到解决的；</w:t>
      </w: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仿宋_GB2312" w:eastAsia="仿宋_GB2312" w:hAnsi="黑体" w:hint="eastAsia"/>
          <w:snapToGrid w:val="0"/>
          <w:kern w:val="0"/>
          <w:sz w:val="32"/>
          <w:szCs w:val="32"/>
        </w:rPr>
        <w:t>（三）违反国家、自治区有关产业政策引进高污染、高排放、高能耗产业和项目或者淘汰落后的生产技术、设备的；</w:t>
      </w: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仿宋_GB2312" w:eastAsia="仿宋_GB2312" w:hAnsi="黑体" w:hint="eastAsia"/>
          <w:snapToGrid w:val="0"/>
          <w:kern w:val="0"/>
          <w:sz w:val="32"/>
          <w:szCs w:val="32"/>
        </w:rPr>
        <w:t>（四）对严重污染环境、破坏生态的企事业单位不依法责令其限期治理或者不按规定责令关闭的；</w:t>
      </w: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仿宋_GB2312" w:eastAsia="仿宋_GB2312" w:hAnsi="黑体" w:hint="eastAsia"/>
          <w:snapToGrid w:val="0"/>
          <w:kern w:val="0"/>
          <w:sz w:val="32"/>
          <w:szCs w:val="32"/>
        </w:rPr>
        <w:t>（五）对未进行环境影响评价，擅自批准项目建设或者擅自为其办理施工、生产（使用）许可证的；</w:t>
      </w: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仿宋_GB2312" w:eastAsia="仿宋_GB2312" w:hAnsi="黑体" w:hint="eastAsia"/>
          <w:snapToGrid w:val="0"/>
          <w:kern w:val="0"/>
          <w:sz w:val="32"/>
          <w:szCs w:val="32"/>
        </w:rPr>
        <w:t>（六）未按照规定处置危险废物、城镇生活垃圾或者处理生活污水，造成环境污染的；</w:t>
      </w: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仿宋_GB2312" w:eastAsia="仿宋_GB2312" w:hAnsi="黑体" w:hint="eastAsia"/>
          <w:snapToGrid w:val="0"/>
          <w:kern w:val="0"/>
          <w:sz w:val="32"/>
          <w:szCs w:val="32"/>
        </w:rPr>
        <w:t>（七）其他违反环境保护法律法规的。</w:t>
      </w: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黑体" w:eastAsia="黑体" w:hAnsi="黑体" w:hint="eastAsia"/>
          <w:snapToGrid w:val="0"/>
          <w:kern w:val="0"/>
          <w:sz w:val="32"/>
          <w:szCs w:val="32"/>
        </w:rPr>
        <w:t>第二十六条</w:t>
      </w:r>
      <w:r>
        <w:rPr>
          <w:rFonts w:ascii="仿宋_GB2312" w:eastAsia="仿宋_GB2312" w:hAnsi="黑体" w:hint="eastAsia"/>
          <w:snapToGrid w:val="0"/>
          <w:kern w:val="0"/>
          <w:sz w:val="32"/>
          <w:szCs w:val="32"/>
        </w:rPr>
        <w:t xml:space="preserve">  </w:t>
      </w:r>
      <w:r w:rsidRPr="00B96AA1">
        <w:rPr>
          <w:rFonts w:ascii="仿宋_GB2312" w:eastAsia="仿宋_GB2312" w:hAnsi="黑体" w:hint="eastAsia"/>
          <w:snapToGrid w:val="0"/>
          <w:kern w:val="0"/>
          <w:sz w:val="32"/>
          <w:szCs w:val="32"/>
        </w:rPr>
        <w:t>建设单位未依法办理建设项目环境影响评价手续，擅自开工建设的，由环境保护主管部门依法责令停止建设，限期补办手续，并依法处以罚款；造成严重生态破坏或环境污染的，由环境保护主管部门依法按照罚款最高限额处以罚款，并报请有批准权的人民政府责令停产、停业、关闭；涉嫌犯罪的，依</w:t>
      </w:r>
      <w:r w:rsidRPr="00B96AA1">
        <w:rPr>
          <w:rFonts w:ascii="仿宋_GB2312" w:eastAsia="仿宋_GB2312" w:hAnsi="黑体" w:hint="eastAsia"/>
          <w:snapToGrid w:val="0"/>
          <w:kern w:val="0"/>
          <w:sz w:val="32"/>
          <w:szCs w:val="32"/>
        </w:rPr>
        <w:lastRenderedPageBreak/>
        <w:t>法移送司法机关处理。</w:t>
      </w: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黑体" w:eastAsia="黑体" w:hAnsi="黑体" w:hint="eastAsia"/>
          <w:snapToGrid w:val="0"/>
          <w:kern w:val="0"/>
          <w:sz w:val="32"/>
          <w:szCs w:val="32"/>
        </w:rPr>
        <w:t>第二十七条</w:t>
      </w:r>
      <w:r>
        <w:rPr>
          <w:rFonts w:ascii="仿宋_GB2312" w:eastAsia="仿宋_GB2312" w:hAnsi="黑体" w:hint="eastAsia"/>
          <w:snapToGrid w:val="0"/>
          <w:kern w:val="0"/>
          <w:sz w:val="32"/>
          <w:szCs w:val="32"/>
        </w:rPr>
        <w:t xml:space="preserve">  </w:t>
      </w:r>
      <w:r w:rsidRPr="00B96AA1">
        <w:rPr>
          <w:rFonts w:ascii="仿宋_GB2312" w:eastAsia="仿宋_GB2312" w:hAnsi="黑体" w:hint="eastAsia"/>
          <w:snapToGrid w:val="0"/>
          <w:kern w:val="0"/>
          <w:sz w:val="32"/>
          <w:szCs w:val="32"/>
        </w:rPr>
        <w:t>在矿产、水电、旅游等资源开发和交通等基础设施建设项目实施过程中，因未落实环境保护措施，造成湖泊、河流、土壤污染或者农田、草原、森林、湿地、野生动植物资源破坏的，由环境保护等主管部门依法给予处罚，并追究建设单位主要负责人和直接责任人的责任；涉嫌犯罪的，依法移送司法机关处理。</w:t>
      </w: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黑体" w:eastAsia="黑体" w:hAnsi="黑体" w:hint="eastAsia"/>
          <w:snapToGrid w:val="0"/>
          <w:kern w:val="0"/>
          <w:sz w:val="32"/>
          <w:szCs w:val="32"/>
        </w:rPr>
        <w:t>第二十八条</w:t>
      </w:r>
      <w:r>
        <w:rPr>
          <w:rFonts w:ascii="仿宋_GB2312" w:eastAsia="仿宋_GB2312" w:hAnsi="黑体" w:hint="eastAsia"/>
          <w:snapToGrid w:val="0"/>
          <w:kern w:val="0"/>
          <w:sz w:val="32"/>
          <w:szCs w:val="32"/>
        </w:rPr>
        <w:t xml:space="preserve">  </w:t>
      </w:r>
      <w:r w:rsidRPr="00B96AA1">
        <w:rPr>
          <w:rFonts w:ascii="仿宋_GB2312" w:eastAsia="仿宋_GB2312" w:hAnsi="黑体" w:hint="eastAsia"/>
          <w:snapToGrid w:val="0"/>
          <w:kern w:val="0"/>
          <w:sz w:val="32"/>
          <w:szCs w:val="32"/>
        </w:rPr>
        <w:t>工矿企业私设暗管或者利用渗坑、渗井等排放工业废水的；随意弃置、直接填埋废渣和其他废弃物的；因防渗措施不到位、管理不当造成工业废水渗漏的，或者擅自拆除、闲置、不正常使用环境污染治理设施的，由环境保护主管部门依法给予处罚并将其列入黑名单；涉嫌犯罪的，移送司法机关处理。</w:t>
      </w:r>
    </w:p>
    <w:p w:rsid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黑体" w:eastAsia="黑体" w:hAnsi="黑体" w:hint="eastAsia"/>
          <w:snapToGrid w:val="0"/>
          <w:kern w:val="0"/>
          <w:sz w:val="32"/>
          <w:szCs w:val="32"/>
        </w:rPr>
        <w:t>第二十九条</w:t>
      </w:r>
      <w:r>
        <w:rPr>
          <w:rFonts w:ascii="仿宋_GB2312" w:eastAsia="仿宋_GB2312" w:hAnsi="黑体" w:hint="eastAsia"/>
          <w:snapToGrid w:val="0"/>
          <w:kern w:val="0"/>
          <w:sz w:val="32"/>
          <w:szCs w:val="32"/>
        </w:rPr>
        <w:t xml:space="preserve">  </w:t>
      </w:r>
      <w:r w:rsidRPr="00B96AA1">
        <w:rPr>
          <w:rFonts w:ascii="仿宋_GB2312" w:eastAsia="仿宋_GB2312" w:hAnsi="黑体" w:hint="eastAsia"/>
          <w:snapToGrid w:val="0"/>
          <w:kern w:val="0"/>
          <w:sz w:val="32"/>
          <w:szCs w:val="32"/>
        </w:rPr>
        <w:t>违反本办法规定的行为，其他法律法规有处罚规定的，从其规定。</w:t>
      </w:r>
    </w:p>
    <w:p w:rsidR="00B96AA1" w:rsidRPr="00B96AA1" w:rsidRDefault="00B96AA1" w:rsidP="00B96AA1">
      <w:pPr>
        <w:pStyle w:val="a0"/>
      </w:pPr>
    </w:p>
    <w:p w:rsidR="00B96AA1" w:rsidRDefault="00B96AA1" w:rsidP="00B96AA1">
      <w:pPr>
        <w:spacing w:line="640" w:lineRule="exact"/>
        <w:jc w:val="center"/>
        <w:rPr>
          <w:rFonts w:ascii="黑体" w:eastAsia="黑体" w:hAnsi="黑体"/>
          <w:snapToGrid w:val="0"/>
          <w:kern w:val="0"/>
          <w:sz w:val="32"/>
          <w:szCs w:val="32"/>
        </w:rPr>
      </w:pPr>
      <w:r w:rsidRPr="00B96AA1">
        <w:rPr>
          <w:rFonts w:ascii="黑体" w:eastAsia="黑体" w:hAnsi="黑体" w:hint="eastAsia"/>
          <w:snapToGrid w:val="0"/>
          <w:kern w:val="0"/>
          <w:sz w:val="32"/>
          <w:szCs w:val="32"/>
        </w:rPr>
        <w:t>第四章 附  则</w:t>
      </w:r>
    </w:p>
    <w:p w:rsidR="00B96AA1" w:rsidRPr="00B96AA1" w:rsidRDefault="00B96AA1" w:rsidP="00B96AA1">
      <w:pPr>
        <w:pStyle w:val="a0"/>
      </w:pPr>
    </w:p>
    <w:p w:rsidR="00B96AA1"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黑体" w:eastAsia="黑体" w:hAnsi="黑体" w:hint="eastAsia"/>
          <w:snapToGrid w:val="0"/>
          <w:kern w:val="0"/>
          <w:sz w:val="32"/>
          <w:szCs w:val="32"/>
        </w:rPr>
        <w:t>第三十条</w:t>
      </w:r>
      <w:r>
        <w:rPr>
          <w:rFonts w:ascii="仿宋_GB2312" w:eastAsia="仿宋_GB2312" w:hAnsi="黑体" w:hint="eastAsia"/>
          <w:snapToGrid w:val="0"/>
          <w:kern w:val="0"/>
          <w:sz w:val="32"/>
          <w:szCs w:val="32"/>
        </w:rPr>
        <w:t xml:space="preserve">  </w:t>
      </w:r>
      <w:r w:rsidRPr="00B96AA1">
        <w:rPr>
          <w:rFonts w:ascii="仿宋_GB2312" w:eastAsia="仿宋_GB2312" w:hAnsi="黑体" w:hint="eastAsia"/>
          <w:snapToGrid w:val="0"/>
          <w:kern w:val="0"/>
          <w:sz w:val="32"/>
          <w:szCs w:val="32"/>
        </w:rPr>
        <w:t>本办法由自治区人民政府负责解释。</w:t>
      </w:r>
    </w:p>
    <w:p w:rsidR="0081558C" w:rsidRPr="00B96AA1" w:rsidRDefault="00B96AA1" w:rsidP="00B96AA1">
      <w:pPr>
        <w:spacing w:line="640" w:lineRule="exact"/>
        <w:ind w:firstLineChars="200" w:firstLine="640"/>
        <w:rPr>
          <w:rFonts w:ascii="仿宋_GB2312" w:eastAsia="仿宋_GB2312" w:hAnsi="黑体"/>
          <w:snapToGrid w:val="0"/>
          <w:kern w:val="0"/>
          <w:sz w:val="32"/>
          <w:szCs w:val="32"/>
        </w:rPr>
      </w:pPr>
      <w:r w:rsidRPr="00B96AA1">
        <w:rPr>
          <w:rFonts w:ascii="黑体" w:eastAsia="黑体" w:hAnsi="黑体" w:hint="eastAsia"/>
          <w:snapToGrid w:val="0"/>
          <w:kern w:val="0"/>
          <w:sz w:val="32"/>
          <w:szCs w:val="32"/>
        </w:rPr>
        <w:t>第三十一条</w:t>
      </w:r>
      <w:r>
        <w:rPr>
          <w:rFonts w:ascii="仿宋_GB2312" w:eastAsia="仿宋_GB2312" w:hAnsi="黑体" w:hint="eastAsia"/>
          <w:snapToGrid w:val="0"/>
          <w:kern w:val="0"/>
          <w:sz w:val="32"/>
          <w:szCs w:val="32"/>
        </w:rPr>
        <w:t xml:space="preserve">  </w:t>
      </w:r>
      <w:r w:rsidRPr="00B96AA1">
        <w:rPr>
          <w:rFonts w:ascii="仿宋_GB2312" w:eastAsia="仿宋_GB2312" w:hAnsi="黑体" w:hint="eastAsia"/>
          <w:snapToGrid w:val="0"/>
          <w:kern w:val="0"/>
          <w:sz w:val="32"/>
          <w:szCs w:val="32"/>
        </w:rPr>
        <w:t>本办法自公布之日起施行。</w:t>
      </w:r>
      <w:bookmarkEnd w:id="0"/>
    </w:p>
    <w:sectPr w:rsidR="0081558C" w:rsidRPr="00B96AA1">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42D" w:rsidRDefault="007A242D">
      <w:r>
        <w:separator/>
      </w:r>
    </w:p>
  </w:endnote>
  <w:endnote w:type="continuationSeparator" w:id="0">
    <w:p w:rsidR="007A242D" w:rsidRDefault="007A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altName w:val="方正仿宋_GBK"/>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8C" w:rsidRDefault="00541127">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1558C" w:rsidRDefault="0054112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A5C5F">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1558C" w:rsidRDefault="0054112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A5C5F">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81558C" w:rsidRDefault="00541127">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5D9FA4"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9B14D0">
      <w:rPr>
        <w:rFonts w:ascii="宋体" w:eastAsia="宋体" w:hAnsi="宋体" w:cs="宋体" w:hint="eastAsia"/>
        <w:b/>
        <w:bCs/>
        <w:color w:val="005192"/>
        <w:sz w:val="28"/>
        <w:szCs w:val="44"/>
      </w:rPr>
      <w:t>西藏自治区</w:t>
    </w:r>
    <w:r>
      <w:rPr>
        <w:rFonts w:ascii="宋体" w:eastAsia="宋体" w:hAnsi="宋体" w:cs="宋体" w:hint="eastAsia"/>
        <w:b/>
        <w:bCs/>
        <w:color w:val="005192"/>
        <w:sz w:val="28"/>
        <w:szCs w:val="44"/>
      </w:rPr>
      <w:t xml:space="preserve">人民政府发布     </w:t>
    </w:r>
  </w:p>
  <w:p w:rsidR="0081558C" w:rsidRDefault="0081558C">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42D" w:rsidRDefault="007A242D">
      <w:r>
        <w:separator/>
      </w:r>
    </w:p>
  </w:footnote>
  <w:footnote w:type="continuationSeparator" w:id="0">
    <w:p w:rsidR="007A242D" w:rsidRDefault="007A2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8C" w:rsidRDefault="00541127">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F5572C"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81558C" w:rsidRDefault="00541127">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B14D0">
      <w:rPr>
        <w:rFonts w:ascii="宋体" w:eastAsia="宋体" w:hAnsi="宋体" w:cs="宋体" w:hint="eastAsia"/>
        <w:b/>
        <w:bCs/>
        <w:color w:val="005192"/>
        <w:sz w:val="32"/>
        <w:szCs w:val="32"/>
      </w:rPr>
      <w:t>西藏自治区</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0016B0E"/>
    <w:rsid w:val="000C604C"/>
    <w:rsid w:val="001A095E"/>
    <w:rsid w:val="001B2153"/>
    <w:rsid w:val="0053316E"/>
    <w:rsid w:val="00541127"/>
    <w:rsid w:val="005C2ABB"/>
    <w:rsid w:val="00734F66"/>
    <w:rsid w:val="007A242D"/>
    <w:rsid w:val="007C21C0"/>
    <w:rsid w:val="0081558C"/>
    <w:rsid w:val="0085563C"/>
    <w:rsid w:val="00893773"/>
    <w:rsid w:val="008951C7"/>
    <w:rsid w:val="00897AD3"/>
    <w:rsid w:val="009B14D0"/>
    <w:rsid w:val="00A84D49"/>
    <w:rsid w:val="00B96AA1"/>
    <w:rsid w:val="00BF6DA6"/>
    <w:rsid w:val="00C27CB4"/>
    <w:rsid w:val="00DA5C5F"/>
    <w:rsid w:val="00E079AC"/>
    <w:rsid w:val="00E61450"/>
    <w:rsid w:val="00ED436D"/>
    <w:rsid w:val="00F86948"/>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A118BF-411B-4590-AC0A-C8EF1043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016B0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679">
      <w:bodyDiv w:val="1"/>
      <w:marLeft w:val="0"/>
      <w:marRight w:val="0"/>
      <w:marTop w:val="0"/>
      <w:marBottom w:val="0"/>
      <w:divBdr>
        <w:top w:val="none" w:sz="0" w:space="0" w:color="auto"/>
        <w:left w:val="none" w:sz="0" w:space="0" w:color="auto"/>
        <w:bottom w:val="none" w:sz="0" w:space="0" w:color="auto"/>
        <w:right w:val="none" w:sz="0" w:space="0" w:color="auto"/>
      </w:divBdr>
    </w:div>
    <w:div w:id="194003964">
      <w:bodyDiv w:val="1"/>
      <w:marLeft w:val="0"/>
      <w:marRight w:val="0"/>
      <w:marTop w:val="0"/>
      <w:marBottom w:val="0"/>
      <w:divBdr>
        <w:top w:val="none" w:sz="0" w:space="0" w:color="auto"/>
        <w:left w:val="none" w:sz="0" w:space="0" w:color="auto"/>
        <w:bottom w:val="none" w:sz="0" w:space="0" w:color="auto"/>
        <w:right w:val="none" w:sz="0" w:space="0" w:color="auto"/>
      </w:divBdr>
    </w:div>
    <w:div w:id="332877025">
      <w:bodyDiv w:val="1"/>
      <w:marLeft w:val="0"/>
      <w:marRight w:val="0"/>
      <w:marTop w:val="0"/>
      <w:marBottom w:val="0"/>
      <w:divBdr>
        <w:top w:val="none" w:sz="0" w:space="0" w:color="auto"/>
        <w:left w:val="none" w:sz="0" w:space="0" w:color="auto"/>
        <w:bottom w:val="none" w:sz="0" w:space="0" w:color="auto"/>
        <w:right w:val="none" w:sz="0" w:space="0" w:color="auto"/>
      </w:divBdr>
    </w:div>
    <w:div w:id="421267712">
      <w:bodyDiv w:val="1"/>
      <w:marLeft w:val="0"/>
      <w:marRight w:val="0"/>
      <w:marTop w:val="0"/>
      <w:marBottom w:val="0"/>
      <w:divBdr>
        <w:top w:val="none" w:sz="0" w:space="0" w:color="auto"/>
        <w:left w:val="none" w:sz="0" w:space="0" w:color="auto"/>
        <w:bottom w:val="none" w:sz="0" w:space="0" w:color="auto"/>
        <w:right w:val="none" w:sz="0" w:space="0" w:color="auto"/>
      </w:divBdr>
    </w:div>
    <w:div w:id="533690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8</Pages>
  <Words>513</Words>
  <Characters>2925</Characters>
  <Application>Microsoft Office Word</Application>
  <DocSecurity>0</DocSecurity>
  <Lines>24</Lines>
  <Paragraphs>6</Paragraphs>
  <ScaleCrop>false</ScaleCrop>
  <Company>CHINA</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13</cp:revision>
  <cp:lastPrinted>2021-12-10T03:27:00Z</cp:lastPrinted>
  <dcterms:created xsi:type="dcterms:W3CDTF">2021-09-09T02:41:00Z</dcterms:created>
  <dcterms:modified xsi:type="dcterms:W3CDTF">2021-12-10T03:27:00Z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